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9974F8" w:rsidP="003D58F1">
      <w:pPr>
        <w:autoSpaceDE/>
        <w:autoSpaceDN/>
        <w:adjustRightInd/>
        <w:spacing w:after="0"/>
        <w:jc w:val="left"/>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1608DB94" wp14:editId="6CDC74E2">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0B9" w:rsidRDefault="008150B9" w:rsidP="0037393E">
                            <w:pPr>
                              <w:spacing w:after="0"/>
                              <w:ind w:right="-46"/>
                              <w:jc w:val="left"/>
                              <w:rPr>
                                <w:rFonts w:cs="Arial"/>
                                <w:b/>
                                <w:bCs/>
                                <w:sz w:val="52"/>
                                <w:szCs w:val="52"/>
                              </w:rPr>
                            </w:pPr>
                          </w:p>
                          <w:p w:rsidR="008150B9" w:rsidRPr="0037393E" w:rsidRDefault="008150B9" w:rsidP="0037393E">
                            <w:pPr>
                              <w:spacing w:after="0"/>
                              <w:ind w:right="-46"/>
                              <w:jc w:val="left"/>
                              <w:rPr>
                                <w:rFonts w:cs="Arial"/>
                                <w:b/>
                                <w:bCs/>
                                <w:sz w:val="52"/>
                                <w:szCs w:val="52"/>
                              </w:rPr>
                            </w:pPr>
                          </w:p>
                          <w:p w:rsidR="008150B9" w:rsidRDefault="008150B9" w:rsidP="0037393E">
                            <w:pPr>
                              <w:spacing w:after="0"/>
                              <w:ind w:right="-46"/>
                              <w:jc w:val="left"/>
                              <w:rPr>
                                <w:rFonts w:cs="Arial"/>
                                <w:b/>
                                <w:bCs/>
                                <w:sz w:val="52"/>
                                <w:szCs w:val="52"/>
                              </w:rPr>
                            </w:pPr>
                            <w:r>
                              <w:rPr>
                                <w:rFonts w:cs="Arial"/>
                                <w:b/>
                                <w:bCs/>
                                <w:sz w:val="52"/>
                                <w:szCs w:val="52"/>
                              </w:rPr>
                              <w:t>Money Matters</w:t>
                            </w:r>
                          </w:p>
                          <w:p w:rsidR="008150B9" w:rsidRDefault="008150B9" w:rsidP="0037393E">
                            <w:pPr>
                              <w:spacing w:after="0"/>
                              <w:ind w:right="-46"/>
                              <w:jc w:val="left"/>
                              <w:rPr>
                                <w:rFonts w:cs="Arial"/>
                                <w:b/>
                                <w:bCs/>
                                <w:sz w:val="52"/>
                                <w:szCs w:val="52"/>
                              </w:rPr>
                            </w:pPr>
                            <w:r>
                              <w:rPr>
                                <w:rFonts w:cs="Arial"/>
                                <w:b/>
                                <w:bCs/>
                                <w:sz w:val="52"/>
                                <w:szCs w:val="52"/>
                              </w:rPr>
                              <w:t>Financial Outlook for the County Council</w:t>
                            </w:r>
                          </w:p>
                          <w:p w:rsidR="008150B9" w:rsidRPr="0037393E" w:rsidRDefault="008150B9" w:rsidP="0037393E">
                            <w:pPr>
                              <w:spacing w:after="0"/>
                              <w:ind w:right="-46"/>
                              <w:jc w:val="left"/>
                              <w:rPr>
                                <w:rFonts w:cs="Arial"/>
                                <w:b/>
                                <w:bCs/>
                                <w:sz w:val="52"/>
                                <w:szCs w:val="52"/>
                              </w:rPr>
                            </w:pPr>
                            <w:r>
                              <w:rPr>
                                <w:rFonts w:cs="Arial"/>
                                <w:b/>
                                <w:bCs/>
                                <w:sz w:val="52"/>
                                <w:szCs w:val="52"/>
                              </w:rPr>
                              <w:t>Medium Term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8DB94"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rsidR="008150B9" w:rsidRDefault="008150B9" w:rsidP="0037393E">
                      <w:pPr>
                        <w:spacing w:after="0"/>
                        <w:ind w:right="-46"/>
                        <w:jc w:val="left"/>
                        <w:rPr>
                          <w:rFonts w:cs="Arial"/>
                          <w:b/>
                          <w:bCs/>
                          <w:sz w:val="52"/>
                          <w:szCs w:val="52"/>
                        </w:rPr>
                      </w:pPr>
                    </w:p>
                    <w:p w:rsidR="008150B9" w:rsidRPr="0037393E" w:rsidRDefault="008150B9" w:rsidP="0037393E">
                      <w:pPr>
                        <w:spacing w:after="0"/>
                        <w:ind w:right="-46"/>
                        <w:jc w:val="left"/>
                        <w:rPr>
                          <w:rFonts w:cs="Arial"/>
                          <w:b/>
                          <w:bCs/>
                          <w:sz w:val="52"/>
                          <w:szCs w:val="52"/>
                        </w:rPr>
                      </w:pPr>
                    </w:p>
                    <w:p w:rsidR="008150B9" w:rsidRDefault="008150B9" w:rsidP="0037393E">
                      <w:pPr>
                        <w:spacing w:after="0"/>
                        <w:ind w:right="-46"/>
                        <w:jc w:val="left"/>
                        <w:rPr>
                          <w:rFonts w:cs="Arial"/>
                          <w:b/>
                          <w:bCs/>
                          <w:sz w:val="52"/>
                          <w:szCs w:val="52"/>
                        </w:rPr>
                      </w:pPr>
                      <w:r>
                        <w:rPr>
                          <w:rFonts w:cs="Arial"/>
                          <w:b/>
                          <w:bCs/>
                          <w:sz w:val="52"/>
                          <w:szCs w:val="52"/>
                        </w:rPr>
                        <w:t>Money Matters</w:t>
                      </w:r>
                    </w:p>
                    <w:p w:rsidR="008150B9" w:rsidRDefault="008150B9" w:rsidP="0037393E">
                      <w:pPr>
                        <w:spacing w:after="0"/>
                        <w:ind w:right="-46"/>
                        <w:jc w:val="left"/>
                        <w:rPr>
                          <w:rFonts w:cs="Arial"/>
                          <w:b/>
                          <w:bCs/>
                          <w:sz w:val="52"/>
                          <w:szCs w:val="52"/>
                        </w:rPr>
                      </w:pPr>
                      <w:r>
                        <w:rPr>
                          <w:rFonts w:cs="Arial"/>
                          <w:b/>
                          <w:bCs/>
                          <w:sz w:val="52"/>
                          <w:szCs w:val="52"/>
                        </w:rPr>
                        <w:t>Financial Outlook for the County Council</w:t>
                      </w:r>
                    </w:p>
                    <w:p w:rsidR="008150B9" w:rsidRPr="0037393E" w:rsidRDefault="008150B9" w:rsidP="0037393E">
                      <w:pPr>
                        <w:spacing w:after="0"/>
                        <w:ind w:right="-46"/>
                        <w:jc w:val="left"/>
                        <w:rPr>
                          <w:rFonts w:cs="Arial"/>
                          <w:b/>
                          <w:bCs/>
                          <w:sz w:val="52"/>
                          <w:szCs w:val="52"/>
                        </w:rPr>
                      </w:pPr>
                      <w:r>
                        <w:rPr>
                          <w:rFonts w:cs="Arial"/>
                          <w:b/>
                          <w:bCs/>
                          <w:sz w:val="52"/>
                          <w:szCs w:val="52"/>
                        </w:rPr>
                        <w:t>Medium Term Financial Strategy</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150B9" w:rsidTr="008150B9">
        <w:trPr>
          <w:trHeight w:val="699"/>
        </w:trPr>
        <w:tc>
          <w:tcPr>
            <w:tcW w:w="562" w:type="dxa"/>
            <w:vAlign w:val="center"/>
          </w:tcPr>
          <w:p w:rsidR="008150B9" w:rsidRDefault="008150B9" w:rsidP="008150B9">
            <w:pPr>
              <w:spacing w:after="0"/>
              <w:ind w:right="-46"/>
              <w:jc w:val="center"/>
              <w:rPr>
                <w:rFonts w:cs="Arial"/>
                <w:b/>
                <w:bCs/>
                <w:sz w:val="22"/>
              </w:rPr>
            </w:pPr>
          </w:p>
        </w:tc>
        <w:tc>
          <w:tcPr>
            <w:tcW w:w="5437" w:type="dxa"/>
            <w:vAlign w:val="center"/>
          </w:tcPr>
          <w:p w:rsidR="008150B9" w:rsidRDefault="008150B9" w:rsidP="008150B9">
            <w:pPr>
              <w:spacing w:after="0"/>
              <w:ind w:right="-46"/>
              <w:jc w:val="center"/>
              <w:rPr>
                <w:rFonts w:cs="Arial"/>
                <w:b/>
                <w:bCs/>
                <w:sz w:val="22"/>
              </w:rPr>
            </w:pPr>
            <w:r>
              <w:rPr>
                <w:rFonts w:cs="Arial"/>
                <w:b/>
                <w:bCs/>
                <w:sz w:val="22"/>
              </w:rPr>
              <w:t>Contents</w:t>
            </w:r>
          </w:p>
        </w:tc>
        <w:tc>
          <w:tcPr>
            <w:tcW w:w="3017" w:type="dxa"/>
            <w:vAlign w:val="center"/>
          </w:tcPr>
          <w:p w:rsidR="008150B9" w:rsidRDefault="008150B9" w:rsidP="008150B9">
            <w:pPr>
              <w:spacing w:after="0"/>
              <w:ind w:right="-46"/>
              <w:jc w:val="center"/>
              <w:rPr>
                <w:rFonts w:cs="Arial"/>
                <w:b/>
                <w:bCs/>
                <w:sz w:val="22"/>
              </w:rPr>
            </w:pPr>
            <w:r>
              <w:rPr>
                <w:rFonts w:cs="Arial"/>
                <w:b/>
                <w:bCs/>
                <w:sz w:val="22"/>
              </w:rPr>
              <w:t>Page</w:t>
            </w:r>
          </w:p>
        </w:tc>
      </w:tr>
      <w:tr w:rsidR="008150B9" w:rsidTr="008150B9">
        <w:tc>
          <w:tcPr>
            <w:tcW w:w="562" w:type="dxa"/>
            <w:vAlign w:val="center"/>
          </w:tcPr>
          <w:p w:rsidR="008150B9" w:rsidRDefault="008150B9" w:rsidP="008150B9">
            <w:pPr>
              <w:spacing w:after="0"/>
              <w:ind w:right="-46"/>
              <w:jc w:val="center"/>
              <w:rPr>
                <w:rFonts w:cs="Arial"/>
                <w:b/>
                <w:bCs/>
                <w:sz w:val="22"/>
              </w:rPr>
            </w:pPr>
            <w:r>
              <w:rPr>
                <w:rFonts w:cs="Arial"/>
                <w:b/>
                <w:bCs/>
                <w:sz w:val="22"/>
              </w:rPr>
              <w:t>1</w:t>
            </w:r>
          </w:p>
        </w:tc>
        <w:tc>
          <w:tcPr>
            <w:tcW w:w="5437" w:type="dxa"/>
            <w:vAlign w:val="center"/>
          </w:tcPr>
          <w:p w:rsidR="000A747F" w:rsidRDefault="000A747F" w:rsidP="003D58F1">
            <w:pPr>
              <w:spacing w:after="0"/>
              <w:ind w:right="-46"/>
              <w:rPr>
                <w:rFonts w:cs="Arial"/>
                <w:b/>
                <w:bCs/>
                <w:sz w:val="22"/>
              </w:rPr>
            </w:pPr>
          </w:p>
          <w:p w:rsidR="008150B9" w:rsidRDefault="008150B9" w:rsidP="003D58F1">
            <w:pPr>
              <w:spacing w:after="0"/>
              <w:ind w:right="-46"/>
              <w:rPr>
                <w:rFonts w:cs="Arial"/>
                <w:b/>
                <w:bCs/>
                <w:sz w:val="22"/>
              </w:rPr>
            </w:pPr>
            <w:r>
              <w:rPr>
                <w:rFonts w:cs="Arial"/>
                <w:b/>
                <w:bCs/>
                <w:sz w:val="22"/>
              </w:rPr>
              <w:t>Executive Summary</w:t>
            </w:r>
          </w:p>
          <w:p w:rsidR="000A747F" w:rsidRDefault="000A747F" w:rsidP="003D58F1">
            <w:pPr>
              <w:spacing w:after="0"/>
              <w:ind w:right="-46"/>
              <w:rPr>
                <w:rFonts w:cs="Arial"/>
                <w:b/>
                <w:bCs/>
                <w:sz w:val="22"/>
              </w:rPr>
            </w:pPr>
          </w:p>
        </w:tc>
        <w:tc>
          <w:tcPr>
            <w:tcW w:w="3017" w:type="dxa"/>
            <w:vAlign w:val="center"/>
          </w:tcPr>
          <w:p w:rsidR="008150B9" w:rsidRDefault="000A747F" w:rsidP="000A747F">
            <w:pPr>
              <w:spacing w:after="0"/>
              <w:ind w:right="-46"/>
              <w:jc w:val="center"/>
              <w:rPr>
                <w:rFonts w:cs="Arial"/>
                <w:b/>
                <w:bCs/>
                <w:sz w:val="22"/>
              </w:rPr>
            </w:pPr>
            <w:r>
              <w:rPr>
                <w:rFonts w:cs="Arial"/>
                <w:b/>
                <w:bCs/>
                <w:sz w:val="22"/>
              </w:rPr>
              <w:t>3</w:t>
            </w:r>
          </w:p>
        </w:tc>
      </w:tr>
      <w:tr w:rsidR="008150B9" w:rsidTr="008150B9">
        <w:tc>
          <w:tcPr>
            <w:tcW w:w="562" w:type="dxa"/>
            <w:vAlign w:val="center"/>
          </w:tcPr>
          <w:p w:rsidR="008150B9" w:rsidRDefault="008150B9" w:rsidP="008150B9">
            <w:pPr>
              <w:spacing w:after="0"/>
              <w:ind w:right="-46"/>
              <w:jc w:val="center"/>
              <w:rPr>
                <w:rFonts w:cs="Arial"/>
                <w:b/>
                <w:bCs/>
                <w:sz w:val="22"/>
              </w:rPr>
            </w:pPr>
            <w:r>
              <w:rPr>
                <w:rFonts w:cs="Arial"/>
                <w:b/>
                <w:bCs/>
                <w:sz w:val="22"/>
              </w:rPr>
              <w:t>2</w:t>
            </w:r>
          </w:p>
        </w:tc>
        <w:tc>
          <w:tcPr>
            <w:tcW w:w="5437" w:type="dxa"/>
            <w:vAlign w:val="center"/>
          </w:tcPr>
          <w:p w:rsidR="000A747F" w:rsidRDefault="000A747F" w:rsidP="003D58F1">
            <w:pPr>
              <w:spacing w:after="0"/>
              <w:ind w:right="-46"/>
              <w:rPr>
                <w:rFonts w:cs="Arial"/>
                <w:b/>
                <w:bCs/>
                <w:sz w:val="22"/>
              </w:rPr>
            </w:pPr>
          </w:p>
          <w:p w:rsidR="008150B9" w:rsidRDefault="008150B9" w:rsidP="003D58F1">
            <w:pPr>
              <w:spacing w:after="0"/>
              <w:ind w:right="-46"/>
              <w:rPr>
                <w:rFonts w:cs="Arial"/>
                <w:b/>
                <w:bCs/>
                <w:sz w:val="22"/>
              </w:rPr>
            </w:pPr>
            <w:r>
              <w:rPr>
                <w:rFonts w:cs="Arial"/>
                <w:b/>
                <w:bCs/>
                <w:sz w:val="22"/>
              </w:rPr>
              <w:t>Resources</w:t>
            </w:r>
          </w:p>
          <w:p w:rsidR="000A747F" w:rsidRDefault="000A747F" w:rsidP="003D58F1">
            <w:pPr>
              <w:spacing w:after="0"/>
              <w:ind w:right="-46"/>
              <w:rPr>
                <w:rFonts w:cs="Arial"/>
                <w:b/>
                <w:bCs/>
                <w:sz w:val="22"/>
              </w:rPr>
            </w:pPr>
          </w:p>
        </w:tc>
        <w:tc>
          <w:tcPr>
            <w:tcW w:w="3017" w:type="dxa"/>
            <w:vAlign w:val="center"/>
          </w:tcPr>
          <w:p w:rsidR="008150B9" w:rsidRDefault="000A747F" w:rsidP="000A747F">
            <w:pPr>
              <w:spacing w:after="0"/>
              <w:ind w:right="-46"/>
              <w:jc w:val="center"/>
              <w:rPr>
                <w:rFonts w:cs="Arial"/>
                <w:b/>
                <w:bCs/>
                <w:sz w:val="22"/>
              </w:rPr>
            </w:pPr>
            <w:r>
              <w:rPr>
                <w:rFonts w:cs="Arial"/>
                <w:b/>
                <w:bCs/>
                <w:sz w:val="22"/>
              </w:rPr>
              <w:t>5</w:t>
            </w:r>
          </w:p>
        </w:tc>
      </w:tr>
      <w:tr w:rsidR="008150B9" w:rsidTr="008150B9">
        <w:tc>
          <w:tcPr>
            <w:tcW w:w="562" w:type="dxa"/>
            <w:vAlign w:val="center"/>
          </w:tcPr>
          <w:p w:rsidR="008150B9" w:rsidRDefault="008150B9" w:rsidP="008150B9">
            <w:pPr>
              <w:spacing w:after="0"/>
              <w:ind w:right="-46"/>
              <w:jc w:val="center"/>
              <w:rPr>
                <w:rFonts w:cs="Arial"/>
                <w:b/>
                <w:bCs/>
                <w:sz w:val="22"/>
              </w:rPr>
            </w:pPr>
            <w:r>
              <w:rPr>
                <w:rFonts w:cs="Arial"/>
                <w:b/>
                <w:bCs/>
                <w:sz w:val="22"/>
              </w:rPr>
              <w:t>3</w:t>
            </w:r>
          </w:p>
        </w:tc>
        <w:tc>
          <w:tcPr>
            <w:tcW w:w="5437" w:type="dxa"/>
            <w:vAlign w:val="center"/>
          </w:tcPr>
          <w:p w:rsidR="000A747F" w:rsidRDefault="000A747F" w:rsidP="003D58F1">
            <w:pPr>
              <w:spacing w:after="0"/>
              <w:ind w:right="-46"/>
              <w:rPr>
                <w:rFonts w:cs="Arial"/>
                <w:b/>
                <w:bCs/>
                <w:sz w:val="22"/>
              </w:rPr>
            </w:pPr>
          </w:p>
          <w:p w:rsidR="008150B9" w:rsidRDefault="00E7457D" w:rsidP="003D58F1">
            <w:pPr>
              <w:spacing w:after="0"/>
              <w:ind w:right="-46"/>
              <w:rPr>
                <w:rFonts w:cs="Arial"/>
                <w:b/>
                <w:bCs/>
                <w:sz w:val="22"/>
              </w:rPr>
            </w:pPr>
            <w:r>
              <w:rPr>
                <w:rFonts w:cs="Arial"/>
                <w:b/>
                <w:bCs/>
                <w:sz w:val="22"/>
              </w:rPr>
              <w:t>Net Spending Pressures</w:t>
            </w:r>
          </w:p>
          <w:p w:rsidR="000A747F" w:rsidRDefault="000A747F" w:rsidP="003D58F1">
            <w:pPr>
              <w:spacing w:after="0"/>
              <w:ind w:right="-46"/>
              <w:rPr>
                <w:rFonts w:cs="Arial"/>
                <w:b/>
                <w:bCs/>
                <w:sz w:val="22"/>
              </w:rPr>
            </w:pPr>
          </w:p>
        </w:tc>
        <w:tc>
          <w:tcPr>
            <w:tcW w:w="3017" w:type="dxa"/>
            <w:vAlign w:val="center"/>
          </w:tcPr>
          <w:p w:rsidR="008150B9" w:rsidRDefault="0093138C" w:rsidP="000A747F">
            <w:pPr>
              <w:spacing w:after="0"/>
              <w:ind w:right="-46"/>
              <w:jc w:val="center"/>
              <w:rPr>
                <w:rFonts w:cs="Arial"/>
                <w:b/>
                <w:bCs/>
                <w:sz w:val="22"/>
              </w:rPr>
            </w:pPr>
            <w:r>
              <w:rPr>
                <w:rFonts w:cs="Arial"/>
                <w:b/>
                <w:bCs/>
                <w:sz w:val="22"/>
              </w:rPr>
              <w:t>11</w:t>
            </w:r>
          </w:p>
        </w:tc>
      </w:tr>
      <w:tr w:rsidR="00E7457D" w:rsidTr="008150B9">
        <w:tc>
          <w:tcPr>
            <w:tcW w:w="562" w:type="dxa"/>
            <w:vAlign w:val="center"/>
          </w:tcPr>
          <w:p w:rsidR="00E7457D" w:rsidRDefault="00E7457D" w:rsidP="008150B9">
            <w:pPr>
              <w:spacing w:after="0"/>
              <w:ind w:right="-46"/>
              <w:jc w:val="center"/>
              <w:rPr>
                <w:rFonts w:cs="Arial"/>
                <w:b/>
                <w:bCs/>
                <w:sz w:val="22"/>
              </w:rPr>
            </w:pPr>
            <w:r>
              <w:rPr>
                <w:rFonts w:cs="Arial"/>
                <w:b/>
                <w:bCs/>
                <w:sz w:val="22"/>
              </w:rPr>
              <w:t>4</w:t>
            </w:r>
          </w:p>
        </w:tc>
        <w:tc>
          <w:tcPr>
            <w:tcW w:w="5437" w:type="dxa"/>
            <w:vAlign w:val="center"/>
          </w:tcPr>
          <w:p w:rsidR="000A747F" w:rsidRDefault="000A747F" w:rsidP="000A747F">
            <w:pPr>
              <w:spacing w:after="0"/>
              <w:ind w:right="-46"/>
              <w:rPr>
                <w:rFonts w:cs="Arial"/>
                <w:b/>
                <w:bCs/>
                <w:sz w:val="22"/>
              </w:rPr>
            </w:pPr>
          </w:p>
          <w:p w:rsidR="000A747F" w:rsidRDefault="000A747F" w:rsidP="000A747F">
            <w:pPr>
              <w:spacing w:after="0"/>
              <w:ind w:right="-46"/>
              <w:rPr>
                <w:rFonts w:cs="Arial"/>
                <w:b/>
                <w:bCs/>
                <w:sz w:val="22"/>
              </w:rPr>
            </w:pPr>
            <w:r>
              <w:rPr>
                <w:rFonts w:cs="Arial"/>
                <w:b/>
                <w:bCs/>
                <w:sz w:val="22"/>
              </w:rPr>
              <w:t>Future Risks</w:t>
            </w:r>
          </w:p>
          <w:p w:rsidR="000A747F" w:rsidRDefault="000A747F" w:rsidP="000A747F">
            <w:pPr>
              <w:spacing w:after="0"/>
              <w:ind w:right="-46"/>
              <w:rPr>
                <w:rFonts w:cs="Arial"/>
                <w:b/>
                <w:bCs/>
                <w:sz w:val="22"/>
              </w:rPr>
            </w:pPr>
          </w:p>
        </w:tc>
        <w:tc>
          <w:tcPr>
            <w:tcW w:w="3017" w:type="dxa"/>
            <w:vAlign w:val="center"/>
          </w:tcPr>
          <w:p w:rsidR="00E7457D" w:rsidRDefault="0093138C" w:rsidP="000A747F">
            <w:pPr>
              <w:spacing w:after="0"/>
              <w:ind w:right="-46"/>
              <w:jc w:val="center"/>
              <w:rPr>
                <w:rFonts w:cs="Arial"/>
                <w:b/>
                <w:bCs/>
                <w:sz w:val="22"/>
              </w:rPr>
            </w:pPr>
            <w:r>
              <w:rPr>
                <w:rFonts w:cs="Arial"/>
                <w:b/>
                <w:bCs/>
                <w:sz w:val="22"/>
              </w:rPr>
              <w:t>16</w:t>
            </w:r>
          </w:p>
        </w:tc>
      </w:tr>
    </w:tbl>
    <w:p w:rsidR="0037393E" w:rsidRDefault="0037393E" w:rsidP="003D58F1">
      <w:pPr>
        <w:spacing w:after="0"/>
        <w:ind w:right="-46"/>
        <w:rPr>
          <w:rFonts w:cs="Arial"/>
          <w:b/>
          <w:bCs/>
          <w:sz w:val="22"/>
        </w:rPr>
      </w:pPr>
    </w:p>
    <w:p w:rsidR="008150B9" w:rsidRDefault="008150B9">
      <w:pPr>
        <w:autoSpaceDE/>
        <w:autoSpaceDN/>
        <w:adjustRightInd/>
        <w:spacing w:after="0"/>
        <w:jc w:val="left"/>
        <w:rPr>
          <w:rFonts w:cs="Arial"/>
          <w:b/>
        </w:rPr>
      </w:pPr>
      <w:r>
        <w:rPr>
          <w:rFonts w:cs="Arial"/>
          <w:b/>
        </w:rPr>
        <w:br w:type="page"/>
      </w:r>
    </w:p>
    <w:p w:rsidR="00932C3B" w:rsidRPr="00472F78" w:rsidRDefault="00932C3B" w:rsidP="008D5D96">
      <w:pPr>
        <w:pBdr>
          <w:bottom w:val="single" w:sz="4" w:space="1" w:color="auto"/>
        </w:pBdr>
        <w:tabs>
          <w:tab w:val="left" w:pos="567"/>
          <w:tab w:val="left" w:pos="1134"/>
        </w:tabs>
        <w:spacing w:after="0"/>
        <w:rPr>
          <w:rFonts w:cs="Arial"/>
          <w:b/>
        </w:rPr>
      </w:pPr>
      <w:r w:rsidRPr="00472F78">
        <w:rPr>
          <w:rFonts w:cs="Arial"/>
          <w:b/>
        </w:rPr>
        <w:lastRenderedPageBreak/>
        <w:t>Financial Outlook for the County Council: Medium Term Financial Strategy</w:t>
      </w:r>
    </w:p>
    <w:p w:rsidR="00932C3B" w:rsidRPr="00472F78" w:rsidRDefault="00932C3B" w:rsidP="008D5D96">
      <w:pPr>
        <w:tabs>
          <w:tab w:val="left" w:pos="567"/>
          <w:tab w:val="left" w:pos="1134"/>
        </w:tabs>
        <w:spacing w:after="0"/>
        <w:rPr>
          <w:rFonts w:cs="Arial"/>
        </w:rPr>
      </w:pPr>
    </w:p>
    <w:p w:rsidR="008321DE" w:rsidRPr="00472F78" w:rsidRDefault="008321DE" w:rsidP="008D5D96">
      <w:pPr>
        <w:pStyle w:val="ListParagraph"/>
        <w:numPr>
          <w:ilvl w:val="0"/>
          <w:numId w:val="28"/>
        </w:numPr>
        <w:spacing w:after="0"/>
        <w:ind w:left="567" w:hanging="567"/>
        <w:rPr>
          <w:rFonts w:cs="Arial"/>
          <w:b/>
        </w:rPr>
      </w:pPr>
      <w:r w:rsidRPr="00472F78">
        <w:rPr>
          <w:rFonts w:cs="Arial"/>
          <w:b/>
        </w:rPr>
        <w:t>Executive Summary</w:t>
      </w:r>
    </w:p>
    <w:p w:rsidR="008321DE" w:rsidRPr="00472F78" w:rsidRDefault="008321DE" w:rsidP="008D5D96">
      <w:pPr>
        <w:tabs>
          <w:tab w:val="left" w:pos="567"/>
          <w:tab w:val="left" w:pos="1134"/>
        </w:tabs>
        <w:spacing w:after="0"/>
        <w:rPr>
          <w:rFonts w:cs="Arial"/>
          <w:b/>
        </w:rPr>
      </w:pPr>
    </w:p>
    <w:p w:rsidR="00932C3B" w:rsidRPr="00472F78" w:rsidRDefault="006E0BEE" w:rsidP="008D5D96">
      <w:pPr>
        <w:tabs>
          <w:tab w:val="left" w:pos="567"/>
          <w:tab w:val="left" w:pos="1134"/>
        </w:tabs>
        <w:spacing w:after="0"/>
        <w:rPr>
          <w:rFonts w:cs="Arial"/>
          <w:b/>
        </w:rPr>
      </w:pPr>
      <w:r w:rsidRPr="00472F78">
        <w:rPr>
          <w:rFonts w:cs="Arial"/>
          <w:b/>
        </w:rPr>
        <w:t xml:space="preserve">1.1 </w:t>
      </w:r>
      <w:r w:rsidR="00932C3B" w:rsidRPr="00472F78">
        <w:rPr>
          <w:rFonts w:cs="Arial"/>
          <w:b/>
        </w:rPr>
        <w:t>Introduction</w:t>
      </w:r>
    </w:p>
    <w:p w:rsidR="003D58F1" w:rsidRPr="00472F78" w:rsidRDefault="003D58F1" w:rsidP="008D5D96">
      <w:pPr>
        <w:tabs>
          <w:tab w:val="left" w:pos="567"/>
          <w:tab w:val="left" w:pos="1134"/>
        </w:tabs>
        <w:spacing w:after="0"/>
        <w:rPr>
          <w:rFonts w:cs="Arial"/>
          <w:b/>
        </w:rPr>
      </w:pPr>
    </w:p>
    <w:p w:rsidR="001A3073" w:rsidRPr="00472F78" w:rsidRDefault="00697D1D" w:rsidP="008D5D96">
      <w:pPr>
        <w:tabs>
          <w:tab w:val="left" w:pos="567"/>
          <w:tab w:val="left" w:pos="1134"/>
        </w:tabs>
        <w:spacing w:after="0"/>
        <w:rPr>
          <w:rFonts w:cs="Arial"/>
        </w:rPr>
      </w:pPr>
      <w:r w:rsidRPr="00472F78">
        <w:rPr>
          <w:rFonts w:cs="Arial"/>
        </w:rPr>
        <w:t xml:space="preserve">This report </w:t>
      </w:r>
      <w:r w:rsidR="004D3311" w:rsidRPr="00472F78">
        <w:rPr>
          <w:rFonts w:cs="Arial"/>
        </w:rPr>
        <w:t>updates</w:t>
      </w:r>
      <w:r w:rsidRPr="00472F78">
        <w:rPr>
          <w:rFonts w:cs="Arial"/>
        </w:rPr>
        <w:t xml:space="preserve"> the financial position facing Lancashire County Council over the period 2015/16 to 2020/21. </w:t>
      </w:r>
      <w:r w:rsidR="000C5639" w:rsidRPr="00472F78">
        <w:rPr>
          <w:rFonts w:cs="Arial"/>
        </w:rPr>
        <w:t xml:space="preserve">The </w:t>
      </w:r>
      <w:r w:rsidR="005C4C7C" w:rsidRPr="00472F78">
        <w:rPr>
          <w:rFonts w:cs="Arial"/>
        </w:rPr>
        <w:t xml:space="preserve">County </w:t>
      </w:r>
      <w:r w:rsidR="000C5639" w:rsidRPr="00472F78">
        <w:rPr>
          <w:rFonts w:cs="Arial"/>
        </w:rPr>
        <w:t xml:space="preserve">Council is experiencing an ongoing period of unprecedented financial pressure as a result of the </w:t>
      </w:r>
      <w:r w:rsidR="00B72437" w:rsidRPr="00472F78">
        <w:rPr>
          <w:rFonts w:cs="Arial"/>
        </w:rPr>
        <w:t>G</w:t>
      </w:r>
      <w:r w:rsidR="000C5639" w:rsidRPr="00472F78">
        <w:rPr>
          <w:rFonts w:cs="Arial"/>
        </w:rPr>
        <w:t>overnment's extended programme of austerity combined with significant increases in demand for public services.</w:t>
      </w:r>
      <w:r w:rsidRPr="00472F78">
        <w:rPr>
          <w:rFonts w:cs="Arial"/>
        </w:rPr>
        <w:t xml:space="preserve"> </w:t>
      </w:r>
    </w:p>
    <w:p w:rsidR="001A3073" w:rsidRPr="00472F78" w:rsidRDefault="001A3073" w:rsidP="008D5D96">
      <w:pPr>
        <w:tabs>
          <w:tab w:val="left" w:pos="567"/>
          <w:tab w:val="left" w:pos="1134"/>
        </w:tabs>
        <w:spacing w:after="0"/>
        <w:rPr>
          <w:rFonts w:cs="Arial"/>
        </w:rPr>
      </w:pPr>
    </w:p>
    <w:p w:rsidR="00333713" w:rsidRPr="00472F78" w:rsidRDefault="00333713" w:rsidP="008D5D96">
      <w:pPr>
        <w:tabs>
          <w:tab w:val="left" w:pos="567"/>
          <w:tab w:val="left" w:pos="1134"/>
        </w:tabs>
        <w:spacing w:after="0"/>
        <w:rPr>
          <w:rFonts w:cs="Arial"/>
        </w:rPr>
      </w:pPr>
      <w:r w:rsidRPr="00472F78">
        <w:rPr>
          <w:rFonts w:cs="Arial"/>
        </w:rPr>
        <w:t xml:space="preserve">Cabinet </w:t>
      </w:r>
      <w:r w:rsidR="00522F1E" w:rsidRPr="00472F78">
        <w:rPr>
          <w:rFonts w:cs="Arial"/>
        </w:rPr>
        <w:t xml:space="preserve">have </w:t>
      </w:r>
      <w:r w:rsidRPr="00472F78">
        <w:rPr>
          <w:rFonts w:cs="Arial"/>
        </w:rPr>
        <w:t>received report</w:t>
      </w:r>
      <w:r w:rsidR="00522F1E" w:rsidRPr="00472F78">
        <w:rPr>
          <w:rFonts w:cs="Arial"/>
        </w:rPr>
        <w:t>s in August and November 2015</w:t>
      </w:r>
      <w:r w:rsidRPr="00472F78">
        <w:rPr>
          <w:rFonts w:cs="Arial"/>
        </w:rPr>
        <w:t xml:space="preserve"> </w:t>
      </w:r>
      <w:r w:rsidR="004D3311" w:rsidRPr="00472F78">
        <w:rPr>
          <w:rFonts w:cs="Arial"/>
        </w:rPr>
        <w:t xml:space="preserve">on the </w:t>
      </w:r>
      <w:r w:rsidR="00697D1D" w:rsidRPr="00472F78">
        <w:rPr>
          <w:rFonts w:cs="Arial"/>
        </w:rPr>
        <w:t>MTFS to cover</w:t>
      </w:r>
      <w:r w:rsidRPr="00472F78">
        <w:rPr>
          <w:rFonts w:cs="Arial"/>
        </w:rPr>
        <w:t xml:space="preserve"> the period 2015/16 to 2020/21</w:t>
      </w:r>
      <w:r w:rsidR="00522F1E" w:rsidRPr="00472F78">
        <w:rPr>
          <w:rFonts w:cs="Arial"/>
        </w:rPr>
        <w:t>. The latest reported</w:t>
      </w:r>
      <w:r w:rsidR="00920951" w:rsidRPr="00472F78">
        <w:rPr>
          <w:rFonts w:cs="Arial"/>
        </w:rPr>
        <w:t xml:space="preserve"> </w:t>
      </w:r>
      <w:r w:rsidRPr="00472F78">
        <w:rPr>
          <w:rFonts w:cs="Arial"/>
        </w:rPr>
        <w:t xml:space="preserve">funding gap over the </w:t>
      </w:r>
      <w:r w:rsidR="007F3C40" w:rsidRPr="00472F78">
        <w:rPr>
          <w:rFonts w:cs="Arial"/>
        </w:rPr>
        <w:t xml:space="preserve">five year </w:t>
      </w:r>
      <w:r w:rsidRPr="00472F78">
        <w:rPr>
          <w:rFonts w:cs="Arial"/>
        </w:rPr>
        <w:t>period</w:t>
      </w:r>
      <w:r w:rsidR="00522F1E" w:rsidRPr="00472F78">
        <w:rPr>
          <w:rFonts w:cs="Arial"/>
        </w:rPr>
        <w:t xml:space="preserve"> was</w:t>
      </w:r>
      <w:r w:rsidRPr="00472F78">
        <w:rPr>
          <w:rFonts w:cs="Arial"/>
        </w:rPr>
        <w:t xml:space="preserve"> £</w:t>
      </w:r>
      <w:r w:rsidR="00863696" w:rsidRPr="00472F78">
        <w:rPr>
          <w:rFonts w:cs="Arial"/>
        </w:rPr>
        <w:t>262.0</w:t>
      </w:r>
      <w:r w:rsidRPr="00472F78">
        <w:rPr>
          <w:rFonts w:cs="Arial"/>
        </w:rPr>
        <w:t>m</w:t>
      </w:r>
      <w:r w:rsidR="00CC0550" w:rsidRPr="00472F78">
        <w:rPr>
          <w:rFonts w:cs="Arial"/>
        </w:rPr>
        <w:t>.</w:t>
      </w:r>
    </w:p>
    <w:p w:rsidR="003D58F1" w:rsidRPr="00472F78" w:rsidRDefault="003D58F1" w:rsidP="008D5D96">
      <w:pPr>
        <w:tabs>
          <w:tab w:val="left" w:pos="567"/>
          <w:tab w:val="left" w:pos="1134"/>
        </w:tabs>
        <w:spacing w:after="0"/>
        <w:rPr>
          <w:rFonts w:cs="Arial"/>
        </w:rPr>
      </w:pPr>
    </w:p>
    <w:p w:rsidR="003D58F1" w:rsidRPr="00472F78" w:rsidRDefault="00CD156D" w:rsidP="008D5D96">
      <w:pPr>
        <w:tabs>
          <w:tab w:val="left" w:pos="567"/>
          <w:tab w:val="left" w:pos="1134"/>
        </w:tabs>
        <w:spacing w:after="0"/>
        <w:rPr>
          <w:rFonts w:cs="Arial"/>
        </w:rPr>
      </w:pPr>
      <w:r w:rsidRPr="00472F78">
        <w:rPr>
          <w:rFonts w:cs="Arial"/>
        </w:rPr>
        <w:t>Since the last report</w:t>
      </w:r>
      <w:r w:rsidR="00757FB9" w:rsidRPr="00472F78">
        <w:rPr>
          <w:rFonts w:cs="Arial"/>
        </w:rPr>
        <w:t xml:space="preserve"> in November 2015</w:t>
      </w:r>
      <w:r w:rsidRPr="00472F78">
        <w:rPr>
          <w:rFonts w:cs="Arial"/>
        </w:rPr>
        <w:t xml:space="preserve"> the Secretary of State has announced </w:t>
      </w:r>
      <w:r w:rsidR="00757FB9" w:rsidRPr="00472F78">
        <w:rPr>
          <w:rFonts w:cs="Arial"/>
        </w:rPr>
        <w:t xml:space="preserve">the </w:t>
      </w:r>
      <w:r w:rsidRPr="00472F78">
        <w:rPr>
          <w:rFonts w:cs="Arial"/>
        </w:rPr>
        <w:t>Provisional Local Government Finance Settlement for 2016/17.</w:t>
      </w:r>
      <w:r w:rsidR="00C5556E" w:rsidRPr="00472F78">
        <w:rPr>
          <w:rFonts w:cs="Arial"/>
        </w:rPr>
        <w:t>This report considers</w:t>
      </w:r>
      <w:r w:rsidRPr="00472F78">
        <w:rPr>
          <w:rFonts w:cs="Arial"/>
        </w:rPr>
        <w:t xml:space="preserve"> the impact of the Settlement on the</w:t>
      </w:r>
      <w:r w:rsidR="00C5556E" w:rsidRPr="00472F78">
        <w:rPr>
          <w:rFonts w:cs="Arial"/>
        </w:rPr>
        <w:t xml:space="preserve"> MTFS</w:t>
      </w:r>
      <w:r w:rsidR="004D3311" w:rsidRPr="00472F78">
        <w:rPr>
          <w:rFonts w:cs="Arial"/>
        </w:rPr>
        <w:t>, the impact of budget decisions taken by Cabinet</w:t>
      </w:r>
      <w:r w:rsidRPr="00472F78">
        <w:rPr>
          <w:rFonts w:cs="Arial"/>
        </w:rPr>
        <w:t xml:space="preserve"> and updates other assumptions</w:t>
      </w:r>
      <w:r w:rsidR="00C5556E" w:rsidRPr="00472F78">
        <w:rPr>
          <w:rFonts w:cs="Arial"/>
        </w:rPr>
        <w:t xml:space="preserve"> in light of </w:t>
      </w:r>
      <w:r w:rsidR="00E644C2" w:rsidRPr="00472F78">
        <w:rPr>
          <w:rFonts w:cs="Arial"/>
        </w:rPr>
        <w:t xml:space="preserve">current </w:t>
      </w:r>
      <w:r w:rsidR="00C5556E" w:rsidRPr="00472F78">
        <w:rPr>
          <w:rFonts w:cs="Arial"/>
        </w:rPr>
        <w:t>information.</w:t>
      </w:r>
      <w:r w:rsidR="00C15390" w:rsidRPr="00472F78">
        <w:rPr>
          <w:rFonts w:cs="Arial"/>
        </w:rPr>
        <w:t xml:space="preserve"> As a result of these reviews the funding gap has </w:t>
      </w:r>
      <w:r w:rsidRPr="00472F78">
        <w:rPr>
          <w:rFonts w:cs="Arial"/>
        </w:rPr>
        <w:t>reduced</w:t>
      </w:r>
      <w:r w:rsidR="004D3311" w:rsidRPr="00472F78">
        <w:rPr>
          <w:rFonts w:cs="Arial"/>
        </w:rPr>
        <w:t xml:space="preserve"> </w:t>
      </w:r>
      <w:r w:rsidR="00C15390" w:rsidRPr="00472F78">
        <w:rPr>
          <w:rFonts w:cs="Arial"/>
        </w:rPr>
        <w:t>to £</w:t>
      </w:r>
      <w:r w:rsidR="00863696" w:rsidRPr="00472F78">
        <w:rPr>
          <w:rFonts w:cs="Arial"/>
        </w:rPr>
        <w:t>200.5</w:t>
      </w:r>
      <w:r w:rsidR="00C15390" w:rsidRPr="00472F78">
        <w:rPr>
          <w:rFonts w:cs="Arial"/>
        </w:rPr>
        <w:t>m</w:t>
      </w:r>
      <w:r w:rsidR="00DF300F" w:rsidRPr="00472F78">
        <w:rPr>
          <w:rFonts w:cs="Arial"/>
        </w:rPr>
        <w:t>.</w:t>
      </w:r>
    </w:p>
    <w:p w:rsidR="006E0BEE" w:rsidRPr="008D5D96" w:rsidRDefault="006E0BEE" w:rsidP="008D5D96">
      <w:pPr>
        <w:autoSpaceDE/>
        <w:autoSpaceDN/>
        <w:adjustRightInd/>
        <w:spacing w:after="0"/>
        <w:jc w:val="left"/>
        <w:rPr>
          <w:rFonts w:cs="Arial"/>
          <w:color w:val="auto"/>
        </w:rPr>
      </w:pPr>
    </w:p>
    <w:p w:rsidR="001A3073" w:rsidRPr="008D5D96" w:rsidRDefault="001A3073" w:rsidP="008D5D96">
      <w:pPr>
        <w:autoSpaceDE/>
        <w:autoSpaceDN/>
        <w:adjustRightInd/>
        <w:spacing w:after="0"/>
        <w:jc w:val="left"/>
        <w:rPr>
          <w:rFonts w:cs="Arial"/>
          <w:color w:val="auto"/>
        </w:rPr>
      </w:pPr>
    </w:p>
    <w:tbl>
      <w:tblPr>
        <w:tblStyle w:val="TableGrid"/>
        <w:tblW w:w="9088" w:type="dxa"/>
        <w:jc w:val="center"/>
        <w:tblLook w:val="04A0" w:firstRow="1" w:lastRow="0" w:firstColumn="1" w:lastColumn="0" w:noHBand="0" w:noVBand="1"/>
      </w:tblPr>
      <w:tblGrid>
        <w:gridCol w:w="2944"/>
        <w:gridCol w:w="1012"/>
        <w:gridCol w:w="1012"/>
        <w:gridCol w:w="1012"/>
        <w:gridCol w:w="1012"/>
        <w:gridCol w:w="1012"/>
        <w:gridCol w:w="1084"/>
      </w:tblGrid>
      <w:tr w:rsidR="006E0BEE" w:rsidRPr="006225AE" w:rsidTr="00DE3687">
        <w:trPr>
          <w:trHeight w:val="717"/>
          <w:jc w:val="center"/>
        </w:trPr>
        <w:tc>
          <w:tcPr>
            <w:tcW w:w="0" w:type="auto"/>
            <w:shd w:val="clear" w:color="auto" w:fill="BFBFBF" w:themeFill="background1" w:themeFillShade="BF"/>
          </w:tcPr>
          <w:p w:rsidR="00696A7C" w:rsidRPr="006225AE" w:rsidRDefault="00696A7C" w:rsidP="008D5D96">
            <w:pPr>
              <w:tabs>
                <w:tab w:val="left" w:pos="567"/>
                <w:tab w:val="left" w:pos="1134"/>
              </w:tabs>
              <w:spacing w:after="0"/>
              <w:rPr>
                <w:rFonts w:cs="Arial"/>
                <w:sz w:val="22"/>
                <w:szCs w:val="22"/>
                <w:highlight w:val="green"/>
              </w:rPr>
            </w:pPr>
          </w:p>
        </w:tc>
        <w:tc>
          <w:tcPr>
            <w:tcW w:w="0" w:type="auto"/>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2016/17</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c>
          <w:tcPr>
            <w:tcW w:w="0" w:type="auto"/>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2017/18</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c>
          <w:tcPr>
            <w:tcW w:w="0" w:type="auto"/>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2018/19</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c>
          <w:tcPr>
            <w:tcW w:w="0" w:type="auto"/>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2019/20</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c>
          <w:tcPr>
            <w:tcW w:w="0" w:type="auto"/>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2020/21</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c>
          <w:tcPr>
            <w:tcW w:w="1084" w:type="dxa"/>
            <w:shd w:val="clear" w:color="auto" w:fill="BFBFBF" w:themeFill="background1" w:themeFillShade="BF"/>
            <w:vAlign w:val="center"/>
          </w:tcPr>
          <w:p w:rsidR="00696A7C" w:rsidRPr="006225AE" w:rsidRDefault="00696A7C" w:rsidP="008D5D96">
            <w:pPr>
              <w:tabs>
                <w:tab w:val="left" w:pos="567"/>
                <w:tab w:val="left" w:pos="1134"/>
              </w:tabs>
              <w:spacing w:after="0"/>
              <w:jc w:val="center"/>
              <w:rPr>
                <w:rFonts w:cs="Arial"/>
                <w:b/>
                <w:sz w:val="22"/>
                <w:szCs w:val="22"/>
              </w:rPr>
            </w:pPr>
            <w:r w:rsidRPr="006225AE">
              <w:rPr>
                <w:rFonts w:cs="Arial"/>
                <w:b/>
                <w:sz w:val="22"/>
                <w:szCs w:val="22"/>
              </w:rPr>
              <w:t>Total</w:t>
            </w:r>
          </w:p>
          <w:p w:rsidR="00122E8D" w:rsidRPr="006225AE" w:rsidRDefault="00122E8D" w:rsidP="008D5D96">
            <w:pPr>
              <w:tabs>
                <w:tab w:val="left" w:pos="567"/>
                <w:tab w:val="left" w:pos="1134"/>
              </w:tabs>
              <w:spacing w:after="0"/>
              <w:jc w:val="center"/>
              <w:rPr>
                <w:rFonts w:cs="Arial"/>
                <w:b/>
                <w:sz w:val="22"/>
                <w:szCs w:val="22"/>
              </w:rPr>
            </w:pPr>
            <w:r w:rsidRPr="006225AE">
              <w:rPr>
                <w:rFonts w:cs="Arial"/>
                <w:b/>
                <w:sz w:val="22"/>
                <w:szCs w:val="22"/>
              </w:rPr>
              <w:t>£m</w:t>
            </w:r>
          </w:p>
        </w:tc>
      </w:tr>
      <w:tr w:rsidR="008D5D96" w:rsidRPr="006225AE" w:rsidTr="00D632A2">
        <w:trPr>
          <w:trHeight w:val="741"/>
          <w:jc w:val="center"/>
        </w:trPr>
        <w:tc>
          <w:tcPr>
            <w:tcW w:w="0" w:type="auto"/>
            <w:vAlign w:val="center"/>
          </w:tcPr>
          <w:p w:rsidR="00696A7C" w:rsidRPr="006225AE" w:rsidRDefault="00696A7C" w:rsidP="008D5D96">
            <w:pPr>
              <w:tabs>
                <w:tab w:val="left" w:pos="567"/>
                <w:tab w:val="left" w:pos="1134"/>
              </w:tabs>
              <w:spacing w:after="0"/>
              <w:jc w:val="left"/>
              <w:rPr>
                <w:rFonts w:cs="Arial"/>
                <w:b/>
                <w:sz w:val="22"/>
                <w:szCs w:val="22"/>
              </w:rPr>
            </w:pPr>
            <w:r w:rsidRPr="006225AE">
              <w:rPr>
                <w:rFonts w:cs="Arial"/>
                <w:b/>
                <w:sz w:val="22"/>
                <w:szCs w:val="22"/>
              </w:rPr>
              <w:t xml:space="preserve">Funding gap reported to </w:t>
            </w:r>
            <w:r w:rsidR="000E7CA1" w:rsidRPr="006225AE">
              <w:rPr>
                <w:rFonts w:cs="Arial"/>
                <w:b/>
                <w:sz w:val="22"/>
                <w:szCs w:val="22"/>
              </w:rPr>
              <w:t xml:space="preserve">Cabinet  </w:t>
            </w:r>
            <w:r w:rsidRPr="006225AE">
              <w:rPr>
                <w:rFonts w:cs="Arial"/>
                <w:b/>
                <w:sz w:val="22"/>
                <w:szCs w:val="22"/>
              </w:rPr>
              <w:t xml:space="preserve">– </w:t>
            </w:r>
            <w:r w:rsidR="00522F1E" w:rsidRPr="006225AE">
              <w:rPr>
                <w:rFonts w:cs="Arial"/>
                <w:b/>
                <w:sz w:val="22"/>
                <w:szCs w:val="22"/>
              </w:rPr>
              <w:t xml:space="preserve">November </w:t>
            </w:r>
            <w:r w:rsidRPr="006225AE">
              <w:rPr>
                <w:rFonts w:cs="Arial"/>
                <w:b/>
                <w:sz w:val="22"/>
                <w:szCs w:val="22"/>
              </w:rPr>
              <w:t>2015</w:t>
            </w:r>
          </w:p>
        </w:tc>
        <w:tc>
          <w:tcPr>
            <w:tcW w:w="0" w:type="auto"/>
            <w:vAlign w:val="center"/>
          </w:tcPr>
          <w:p w:rsidR="00696A7C" w:rsidRPr="006225AE" w:rsidRDefault="00522F1E" w:rsidP="00277907">
            <w:pPr>
              <w:tabs>
                <w:tab w:val="left" w:pos="567"/>
                <w:tab w:val="left" w:pos="1134"/>
              </w:tabs>
              <w:spacing w:after="0"/>
              <w:jc w:val="center"/>
              <w:rPr>
                <w:rFonts w:cs="Arial"/>
                <w:b/>
                <w:sz w:val="22"/>
                <w:szCs w:val="22"/>
              </w:rPr>
            </w:pPr>
            <w:r w:rsidRPr="006225AE">
              <w:rPr>
                <w:rFonts w:cs="Arial"/>
                <w:b/>
                <w:sz w:val="22"/>
                <w:szCs w:val="22"/>
              </w:rPr>
              <w:t>9</w:t>
            </w:r>
            <w:r w:rsidR="00071F35" w:rsidRPr="006225AE">
              <w:rPr>
                <w:rFonts w:cs="Arial"/>
                <w:b/>
                <w:sz w:val="22"/>
                <w:szCs w:val="22"/>
              </w:rPr>
              <w:t>0</w:t>
            </w:r>
            <w:r w:rsidRPr="006225AE">
              <w:rPr>
                <w:rFonts w:cs="Arial"/>
                <w:b/>
                <w:sz w:val="22"/>
                <w:szCs w:val="22"/>
              </w:rPr>
              <w:t>.</w:t>
            </w:r>
            <w:r w:rsidR="00FD5928" w:rsidRPr="006225AE">
              <w:rPr>
                <w:rFonts w:cs="Arial"/>
                <w:b/>
                <w:sz w:val="22"/>
                <w:szCs w:val="22"/>
              </w:rPr>
              <w:t>174</w:t>
            </w:r>
          </w:p>
        </w:tc>
        <w:tc>
          <w:tcPr>
            <w:tcW w:w="0" w:type="auto"/>
            <w:vAlign w:val="center"/>
          </w:tcPr>
          <w:p w:rsidR="00696A7C" w:rsidRPr="006225AE" w:rsidRDefault="00071F35" w:rsidP="00277907">
            <w:pPr>
              <w:tabs>
                <w:tab w:val="left" w:pos="567"/>
                <w:tab w:val="left" w:pos="1134"/>
              </w:tabs>
              <w:spacing w:after="0"/>
              <w:jc w:val="center"/>
              <w:rPr>
                <w:rFonts w:cs="Arial"/>
                <w:b/>
                <w:sz w:val="22"/>
                <w:szCs w:val="22"/>
              </w:rPr>
            </w:pPr>
            <w:r w:rsidRPr="006225AE">
              <w:rPr>
                <w:rFonts w:cs="Arial"/>
                <w:b/>
                <w:sz w:val="22"/>
                <w:szCs w:val="22"/>
              </w:rPr>
              <w:t>21</w:t>
            </w:r>
            <w:r w:rsidR="00522F1E" w:rsidRPr="006225AE">
              <w:rPr>
                <w:rFonts w:cs="Arial"/>
                <w:b/>
                <w:sz w:val="22"/>
                <w:szCs w:val="22"/>
              </w:rPr>
              <w:t>.9</w:t>
            </w:r>
            <w:r w:rsidR="00FD5928" w:rsidRPr="006225AE">
              <w:rPr>
                <w:rFonts w:cs="Arial"/>
                <w:b/>
                <w:sz w:val="22"/>
                <w:szCs w:val="22"/>
              </w:rPr>
              <w:t>40</w:t>
            </w:r>
          </w:p>
        </w:tc>
        <w:tc>
          <w:tcPr>
            <w:tcW w:w="0" w:type="auto"/>
            <w:vAlign w:val="center"/>
          </w:tcPr>
          <w:p w:rsidR="00696A7C" w:rsidRPr="006225AE" w:rsidRDefault="00522F1E" w:rsidP="00277907">
            <w:pPr>
              <w:tabs>
                <w:tab w:val="left" w:pos="567"/>
                <w:tab w:val="left" w:pos="1134"/>
              </w:tabs>
              <w:spacing w:after="0"/>
              <w:jc w:val="center"/>
              <w:rPr>
                <w:rFonts w:cs="Arial"/>
                <w:b/>
                <w:sz w:val="22"/>
                <w:szCs w:val="22"/>
              </w:rPr>
            </w:pPr>
            <w:r w:rsidRPr="006225AE">
              <w:rPr>
                <w:rFonts w:cs="Arial"/>
                <w:b/>
                <w:sz w:val="22"/>
                <w:szCs w:val="22"/>
              </w:rPr>
              <w:t>56.0</w:t>
            </w:r>
            <w:r w:rsidR="00FD5928" w:rsidRPr="006225AE">
              <w:rPr>
                <w:rFonts w:cs="Arial"/>
                <w:b/>
                <w:sz w:val="22"/>
                <w:szCs w:val="22"/>
              </w:rPr>
              <w:t>18</w:t>
            </w:r>
          </w:p>
        </w:tc>
        <w:tc>
          <w:tcPr>
            <w:tcW w:w="0" w:type="auto"/>
            <w:vAlign w:val="center"/>
          </w:tcPr>
          <w:p w:rsidR="00696A7C" w:rsidRPr="006225AE" w:rsidRDefault="00522F1E" w:rsidP="00277907">
            <w:pPr>
              <w:tabs>
                <w:tab w:val="left" w:pos="567"/>
                <w:tab w:val="left" w:pos="1134"/>
              </w:tabs>
              <w:spacing w:after="0"/>
              <w:jc w:val="center"/>
              <w:rPr>
                <w:rFonts w:cs="Arial"/>
                <w:b/>
                <w:sz w:val="22"/>
                <w:szCs w:val="22"/>
              </w:rPr>
            </w:pPr>
            <w:r w:rsidRPr="006225AE">
              <w:rPr>
                <w:rFonts w:cs="Arial"/>
                <w:b/>
                <w:sz w:val="22"/>
                <w:szCs w:val="22"/>
              </w:rPr>
              <w:t>47.</w:t>
            </w:r>
            <w:r w:rsidR="00FD5928" w:rsidRPr="006225AE">
              <w:rPr>
                <w:rFonts w:cs="Arial"/>
                <w:b/>
                <w:sz w:val="22"/>
                <w:szCs w:val="22"/>
              </w:rPr>
              <w:t>592</w:t>
            </w:r>
          </w:p>
        </w:tc>
        <w:tc>
          <w:tcPr>
            <w:tcW w:w="0" w:type="auto"/>
            <w:vAlign w:val="center"/>
          </w:tcPr>
          <w:p w:rsidR="00696A7C" w:rsidRPr="006225AE" w:rsidRDefault="00522F1E" w:rsidP="00277907">
            <w:pPr>
              <w:tabs>
                <w:tab w:val="left" w:pos="567"/>
                <w:tab w:val="left" w:pos="1134"/>
              </w:tabs>
              <w:spacing w:after="0"/>
              <w:jc w:val="center"/>
              <w:rPr>
                <w:rFonts w:cs="Arial"/>
                <w:b/>
                <w:sz w:val="22"/>
                <w:szCs w:val="22"/>
              </w:rPr>
            </w:pPr>
            <w:r w:rsidRPr="006225AE">
              <w:rPr>
                <w:rFonts w:cs="Arial"/>
                <w:b/>
                <w:sz w:val="22"/>
                <w:szCs w:val="22"/>
              </w:rPr>
              <w:t>46.</w:t>
            </w:r>
            <w:r w:rsidR="00FD5928" w:rsidRPr="006225AE">
              <w:rPr>
                <w:rFonts w:cs="Arial"/>
                <w:b/>
                <w:sz w:val="22"/>
                <w:szCs w:val="22"/>
              </w:rPr>
              <w:t>283</w:t>
            </w:r>
          </w:p>
        </w:tc>
        <w:tc>
          <w:tcPr>
            <w:tcW w:w="1084" w:type="dxa"/>
            <w:vAlign w:val="center"/>
          </w:tcPr>
          <w:p w:rsidR="00696A7C" w:rsidRPr="006225AE" w:rsidRDefault="00522F1E" w:rsidP="00277907">
            <w:pPr>
              <w:tabs>
                <w:tab w:val="left" w:pos="567"/>
                <w:tab w:val="left" w:pos="1134"/>
              </w:tabs>
              <w:spacing w:after="0"/>
              <w:jc w:val="center"/>
              <w:rPr>
                <w:rFonts w:cs="Arial"/>
                <w:b/>
                <w:sz w:val="22"/>
                <w:szCs w:val="22"/>
              </w:rPr>
            </w:pPr>
            <w:r w:rsidRPr="006225AE">
              <w:rPr>
                <w:rFonts w:cs="Arial"/>
                <w:b/>
                <w:sz w:val="22"/>
                <w:szCs w:val="22"/>
              </w:rPr>
              <w:t>262.0</w:t>
            </w:r>
            <w:r w:rsidR="00FD7467" w:rsidRPr="006225AE">
              <w:rPr>
                <w:rFonts w:cs="Arial"/>
                <w:b/>
                <w:sz w:val="22"/>
                <w:szCs w:val="22"/>
              </w:rPr>
              <w:t>0</w:t>
            </w:r>
            <w:r w:rsidR="00FD5928" w:rsidRPr="006225AE">
              <w:rPr>
                <w:rFonts w:cs="Arial"/>
                <w:b/>
                <w:sz w:val="22"/>
                <w:szCs w:val="22"/>
              </w:rPr>
              <w:t>7</w:t>
            </w:r>
          </w:p>
        </w:tc>
      </w:tr>
      <w:tr w:rsidR="002135B1" w:rsidRPr="006225AE" w:rsidTr="00D632A2">
        <w:trPr>
          <w:trHeight w:val="624"/>
          <w:jc w:val="center"/>
        </w:trPr>
        <w:tc>
          <w:tcPr>
            <w:tcW w:w="0" w:type="auto"/>
            <w:vAlign w:val="center"/>
          </w:tcPr>
          <w:p w:rsidR="002135B1" w:rsidRPr="006225AE" w:rsidRDefault="002135B1" w:rsidP="009D2B1C">
            <w:pPr>
              <w:tabs>
                <w:tab w:val="left" w:pos="567"/>
                <w:tab w:val="left" w:pos="1134"/>
              </w:tabs>
              <w:spacing w:after="0"/>
              <w:jc w:val="left"/>
              <w:rPr>
                <w:rFonts w:cs="Arial"/>
                <w:sz w:val="22"/>
                <w:szCs w:val="22"/>
              </w:rPr>
            </w:pPr>
            <w:r w:rsidRPr="006225AE">
              <w:rPr>
                <w:rFonts w:cs="Arial"/>
                <w:sz w:val="22"/>
                <w:szCs w:val="22"/>
              </w:rPr>
              <w:t xml:space="preserve">Impact </w:t>
            </w:r>
            <w:r w:rsidR="00B50DB1" w:rsidRPr="006225AE">
              <w:rPr>
                <w:rFonts w:cs="Arial"/>
                <w:sz w:val="22"/>
                <w:szCs w:val="22"/>
              </w:rPr>
              <w:t xml:space="preserve">of </w:t>
            </w:r>
            <w:r w:rsidR="009D2B1C">
              <w:rPr>
                <w:rFonts w:cs="Arial"/>
                <w:sz w:val="22"/>
                <w:szCs w:val="22"/>
              </w:rPr>
              <w:t>Settlement</w:t>
            </w:r>
          </w:p>
        </w:tc>
        <w:tc>
          <w:tcPr>
            <w:tcW w:w="0" w:type="auto"/>
            <w:vAlign w:val="center"/>
          </w:tcPr>
          <w:p w:rsidR="00AE3BC9" w:rsidRPr="006225AE" w:rsidRDefault="009D2B1C" w:rsidP="00277907">
            <w:pPr>
              <w:tabs>
                <w:tab w:val="left" w:pos="567"/>
                <w:tab w:val="left" w:pos="943"/>
              </w:tabs>
              <w:spacing w:after="0"/>
              <w:rPr>
                <w:rFonts w:cs="Arial"/>
                <w:sz w:val="22"/>
                <w:szCs w:val="22"/>
              </w:rPr>
            </w:pPr>
            <w:r>
              <w:rPr>
                <w:rFonts w:cs="Arial"/>
                <w:sz w:val="22"/>
                <w:szCs w:val="22"/>
              </w:rPr>
              <w:t>21.577</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8.849</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-15.210</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-4.319</w:t>
            </w:r>
          </w:p>
        </w:tc>
        <w:tc>
          <w:tcPr>
            <w:tcW w:w="0" w:type="auto"/>
            <w:vAlign w:val="center"/>
          </w:tcPr>
          <w:p w:rsidR="002135B1" w:rsidRPr="006225AE" w:rsidRDefault="002135B1" w:rsidP="00277907">
            <w:pPr>
              <w:tabs>
                <w:tab w:val="left" w:pos="567"/>
                <w:tab w:val="left" w:pos="1134"/>
              </w:tabs>
              <w:spacing w:after="0"/>
              <w:jc w:val="center"/>
              <w:rPr>
                <w:rFonts w:cs="Arial"/>
                <w:sz w:val="22"/>
                <w:szCs w:val="22"/>
              </w:rPr>
            </w:pPr>
          </w:p>
        </w:tc>
        <w:tc>
          <w:tcPr>
            <w:tcW w:w="1084" w:type="dxa"/>
            <w:vAlign w:val="center"/>
          </w:tcPr>
          <w:p w:rsidR="002135B1" w:rsidRPr="006225AE" w:rsidRDefault="009D2B1C" w:rsidP="00277907">
            <w:pPr>
              <w:tabs>
                <w:tab w:val="left" w:pos="567"/>
                <w:tab w:val="left" w:pos="1134"/>
              </w:tabs>
              <w:spacing w:after="0"/>
              <w:jc w:val="center"/>
              <w:rPr>
                <w:rFonts w:cs="Arial"/>
                <w:b/>
                <w:sz w:val="22"/>
                <w:szCs w:val="22"/>
              </w:rPr>
            </w:pPr>
            <w:r>
              <w:rPr>
                <w:rFonts w:cs="Arial"/>
                <w:b/>
                <w:sz w:val="22"/>
                <w:szCs w:val="22"/>
              </w:rPr>
              <w:t>10.897</w:t>
            </w:r>
          </w:p>
        </w:tc>
      </w:tr>
      <w:tr w:rsidR="002135B1" w:rsidRPr="006225AE" w:rsidTr="00D632A2">
        <w:trPr>
          <w:trHeight w:val="648"/>
          <w:jc w:val="center"/>
        </w:trPr>
        <w:tc>
          <w:tcPr>
            <w:tcW w:w="0" w:type="auto"/>
            <w:vAlign w:val="center"/>
          </w:tcPr>
          <w:p w:rsidR="002135B1" w:rsidRPr="006225AE" w:rsidRDefault="002135B1" w:rsidP="009D2B1C">
            <w:pPr>
              <w:tabs>
                <w:tab w:val="left" w:pos="567"/>
                <w:tab w:val="left" w:pos="1134"/>
              </w:tabs>
              <w:spacing w:after="0"/>
              <w:jc w:val="left"/>
              <w:rPr>
                <w:rFonts w:cs="Arial"/>
                <w:sz w:val="22"/>
                <w:szCs w:val="22"/>
              </w:rPr>
            </w:pPr>
            <w:r w:rsidRPr="006225AE">
              <w:rPr>
                <w:rFonts w:cs="Arial"/>
                <w:sz w:val="22"/>
                <w:szCs w:val="22"/>
              </w:rPr>
              <w:t xml:space="preserve">Impact of </w:t>
            </w:r>
            <w:r w:rsidR="009D2B1C">
              <w:rPr>
                <w:rFonts w:cs="Arial"/>
                <w:sz w:val="22"/>
                <w:szCs w:val="22"/>
              </w:rPr>
              <w:t>Expenditure Pressures</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-3.402</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5.276</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2.271</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2.341</w:t>
            </w:r>
          </w:p>
        </w:tc>
        <w:tc>
          <w:tcPr>
            <w:tcW w:w="0" w:type="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1.496</w:t>
            </w:r>
          </w:p>
        </w:tc>
        <w:tc>
          <w:tcPr>
            <w:tcW w:w="1084" w:type="dxa"/>
            <w:vAlign w:val="center"/>
          </w:tcPr>
          <w:p w:rsidR="002135B1" w:rsidRPr="006225AE" w:rsidRDefault="009D2B1C" w:rsidP="00277907">
            <w:pPr>
              <w:tabs>
                <w:tab w:val="left" w:pos="567"/>
                <w:tab w:val="left" w:pos="1134"/>
              </w:tabs>
              <w:spacing w:after="0"/>
              <w:jc w:val="center"/>
              <w:rPr>
                <w:rFonts w:cs="Arial"/>
                <w:b/>
                <w:sz w:val="22"/>
                <w:szCs w:val="22"/>
              </w:rPr>
            </w:pPr>
            <w:r>
              <w:rPr>
                <w:rFonts w:cs="Arial"/>
                <w:b/>
                <w:sz w:val="22"/>
                <w:szCs w:val="22"/>
              </w:rPr>
              <w:t>7.982</w:t>
            </w:r>
          </w:p>
        </w:tc>
      </w:tr>
      <w:tr w:rsidR="002135B1" w:rsidRPr="006225AE" w:rsidTr="00D632A2">
        <w:trPr>
          <w:trHeight w:val="603"/>
          <w:jc w:val="center"/>
        </w:trPr>
        <w:tc>
          <w:tcPr>
            <w:tcW w:w="0" w:type="auto"/>
            <w:shd w:val="clear" w:color="auto" w:fill="auto"/>
            <w:vAlign w:val="center"/>
          </w:tcPr>
          <w:p w:rsidR="002135B1" w:rsidRPr="006225AE" w:rsidRDefault="009D2B1C" w:rsidP="002135B1">
            <w:pPr>
              <w:tabs>
                <w:tab w:val="left" w:pos="567"/>
                <w:tab w:val="left" w:pos="1134"/>
              </w:tabs>
              <w:spacing w:after="0"/>
              <w:jc w:val="left"/>
              <w:rPr>
                <w:rFonts w:cs="Arial"/>
                <w:sz w:val="22"/>
                <w:szCs w:val="22"/>
              </w:rPr>
            </w:pPr>
            <w:r w:rsidRPr="009D2B1C">
              <w:rPr>
                <w:rFonts w:cs="Arial"/>
                <w:sz w:val="22"/>
                <w:szCs w:val="22"/>
              </w:rPr>
              <w:t>Saving options Cabinet November</w:t>
            </w:r>
          </w:p>
        </w:tc>
        <w:tc>
          <w:tcPr>
            <w:tcW w:w="0" w:type="auto"/>
            <w:shd w:val="clear" w:color="auto" w:fill="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-64.177</w:t>
            </w:r>
          </w:p>
        </w:tc>
        <w:tc>
          <w:tcPr>
            <w:tcW w:w="0" w:type="auto"/>
            <w:shd w:val="clear" w:color="auto" w:fill="auto"/>
            <w:vAlign w:val="center"/>
          </w:tcPr>
          <w:p w:rsidR="002135B1" w:rsidRPr="006225AE" w:rsidRDefault="009D2B1C" w:rsidP="00277907">
            <w:pPr>
              <w:tabs>
                <w:tab w:val="left" w:pos="567"/>
                <w:tab w:val="left" w:pos="1134"/>
              </w:tabs>
              <w:spacing w:after="0"/>
              <w:jc w:val="center"/>
              <w:rPr>
                <w:rFonts w:cs="Arial"/>
                <w:sz w:val="22"/>
                <w:szCs w:val="22"/>
              </w:rPr>
            </w:pPr>
            <w:r>
              <w:rPr>
                <w:rFonts w:cs="Arial"/>
                <w:sz w:val="22"/>
                <w:szCs w:val="22"/>
              </w:rPr>
              <w:t>-0.687</w:t>
            </w: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1084" w:type="dxa"/>
            <w:shd w:val="clear" w:color="auto" w:fill="auto"/>
            <w:vAlign w:val="center"/>
          </w:tcPr>
          <w:p w:rsidR="002135B1" w:rsidRPr="006225AE" w:rsidRDefault="009D2B1C" w:rsidP="00277907">
            <w:pPr>
              <w:tabs>
                <w:tab w:val="left" w:pos="567"/>
                <w:tab w:val="left" w:pos="1134"/>
              </w:tabs>
              <w:spacing w:after="0"/>
              <w:jc w:val="center"/>
              <w:rPr>
                <w:rFonts w:cs="Arial"/>
                <w:b/>
                <w:sz w:val="22"/>
                <w:szCs w:val="22"/>
              </w:rPr>
            </w:pPr>
            <w:r w:rsidRPr="009D2B1C">
              <w:rPr>
                <w:rFonts w:cs="Arial"/>
                <w:b/>
                <w:sz w:val="22"/>
                <w:szCs w:val="22"/>
              </w:rPr>
              <w:t>-64.864</w:t>
            </w:r>
          </w:p>
        </w:tc>
      </w:tr>
      <w:tr w:rsidR="002135B1" w:rsidRPr="006225AE" w:rsidTr="00D632A2">
        <w:trPr>
          <w:trHeight w:val="641"/>
          <w:jc w:val="center"/>
        </w:trPr>
        <w:tc>
          <w:tcPr>
            <w:tcW w:w="0" w:type="auto"/>
            <w:vAlign w:val="center"/>
          </w:tcPr>
          <w:p w:rsidR="002135B1" w:rsidRPr="006225AE" w:rsidRDefault="009D2B1C" w:rsidP="002135B1">
            <w:pPr>
              <w:tabs>
                <w:tab w:val="left" w:pos="567"/>
                <w:tab w:val="left" w:pos="1134"/>
              </w:tabs>
              <w:spacing w:after="0"/>
              <w:jc w:val="left"/>
              <w:rPr>
                <w:rFonts w:cs="Arial"/>
                <w:sz w:val="22"/>
                <w:szCs w:val="22"/>
              </w:rPr>
            </w:pPr>
            <w:r>
              <w:rPr>
                <w:rFonts w:cs="Arial"/>
                <w:sz w:val="22"/>
                <w:szCs w:val="22"/>
              </w:rPr>
              <w:t>Funding Decisions</w:t>
            </w: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shd w:val="clear" w:color="auto" w:fill="auto"/>
            <w:vAlign w:val="center"/>
          </w:tcPr>
          <w:p w:rsidR="002135B1" w:rsidRPr="006225AE" w:rsidRDefault="002135B1" w:rsidP="00277907">
            <w:pPr>
              <w:tabs>
                <w:tab w:val="left" w:pos="567"/>
                <w:tab w:val="left" w:pos="1134"/>
              </w:tabs>
              <w:spacing w:after="0"/>
              <w:jc w:val="center"/>
              <w:rPr>
                <w:rFonts w:cs="Arial"/>
                <w:sz w:val="22"/>
                <w:szCs w:val="22"/>
              </w:rPr>
            </w:pPr>
          </w:p>
        </w:tc>
        <w:tc>
          <w:tcPr>
            <w:tcW w:w="0" w:type="auto"/>
            <w:vAlign w:val="center"/>
          </w:tcPr>
          <w:p w:rsidR="002135B1" w:rsidRPr="006225AE" w:rsidRDefault="002135B1" w:rsidP="00277907">
            <w:pPr>
              <w:tabs>
                <w:tab w:val="left" w:pos="567"/>
                <w:tab w:val="left" w:pos="1134"/>
              </w:tabs>
              <w:spacing w:after="0"/>
              <w:jc w:val="center"/>
              <w:rPr>
                <w:rFonts w:cs="Arial"/>
                <w:sz w:val="22"/>
                <w:szCs w:val="22"/>
              </w:rPr>
            </w:pPr>
          </w:p>
        </w:tc>
        <w:tc>
          <w:tcPr>
            <w:tcW w:w="1084" w:type="dxa"/>
            <w:vAlign w:val="center"/>
          </w:tcPr>
          <w:p w:rsidR="002135B1" w:rsidRPr="006225AE" w:rsidRDefault="002135B1" w:rsidP="00277907">
            <w:pPr>
              <w:tabs>
                <w:tab w:val="left" w:pos="567"/>
                <w:tab w:val="left" w:pos="1134"/>
              </w:tabs>
              <w:spacing w:after="0"/>
              <w:jc w:val="center"/>
              <w:rPr>
                <w:rFonts w:cs="Arial"/>
                <w:b/>
                <w:sz w:val="22"/>
                <w:szCs w:val="22"/>
              </w:rPr>
            </w:pPr>
          </w:p>
        </w:tc>
      </w:tr>
      <w:tr w:rsidR="00DE081C" w:rsidRPr="006225AE" w:rsidTr="00D632A2">
        <w:trPr>
          <w:trHeight w:val="550"/>
          <w:jc w:val="center"/>
        </w:trPr>
        <w:tc>
          <w:tcPr>
            <w:tcW w:w="0" w:type="auto"/>
            <w:vAlign w:val="center"/>
          </w:tcPr>
          <w:p w:rsidR="00DE081C" w:rsidRPr="006225AE" w:rsidRDefault="009D2B1C" w:rsidP="00DE081C">
            <w:pPr>
              <w:tabs>
                <w:tab w:val="left" w:pos="567"/>
                <w:tab w:val="left" w:pos="1134"/>
              </w:tabs>
              <w:spacing w:after="0"/>
              <w:jc w:val="left"/>
              <w:rPr>
                <w:rFonts w:cs="Arial"/>
                <w:sz w:val="22"/>
                <w:szCs w:val="22"/>
              </w:rPr>
            </w:pPr>
            <w:r>
              <w:rPr>
                <w:rFonts w:cs="Arial"/>
                <w:sz w:val="22"/>
                <w:szCs w:val="22"/>
              </w:rPr>
              <w:t>Council Tax increase in 2016/17</w:t>
            </w:r>
          </w:p>
        </w:tc>
        <w:tc>
          <w:tcPr>
            <w:tcW w:w="0" w:type="auto"/>
            <w:vAlign w:val="center"/>
          </w:tcPr>
          <w:p w:rsidR="00DE081C" w:rsidRPr="006225AE" w:rsidRDefault="00D632A2" w:rsidP="00277907">
            <w:pPr>
              <w:tabs>
                <w:tab w:val="left" w:pos="567"/>
                <w:tab w:val="left" w:pos="1134"/>
              </w:tabs>
              <w:spacing w:after="0"/>
              <w:jc w:val="center"/>
              <w:rPr>
                <w:rFonts w:cs="Arial"/>
                <w:sz w:val="22"/>
                <w:szCs w:val="22"/>
              </w:rPr>
            </w:pPr>
            <w:r>
              <w:rPr>
                <w:rFonts w:cs="Arial"/>
                <w:sz w:val="22"/>
                <w:szCs w:val="22"/>
              </w:rPr>
              <w:t>-</w:t>
            </w:r>
            <w:r w:rsidR="009D2B1C">
              <w:rPr>
                <w:rFonts w:cs="Arial"/>
                <w:sz w:val="22"/>
                <w:szCs w:val="22"/>
              </w:rPr>
              <w:t>15.515</w:t>
            </w:r>
          </w:p>
        </w:tc>
        <w:tc>
          <w:tcPr>
            <w:tcW w:w="0" w:type="auto"/>
            <w:vAlign w:val="center"/>
          </w:tcPr>
          <w:p w:rsidR="00DE081C" w:rsidRPr="006225AE" w:rsidRDefault="00DE081C" w:rsidP="00277907">
            <w:pPr>
              <w:tabs>
                <w:tab w:val="left" w:pos="567"/>
                <w:tab w:val="left" w:pos="1134"/>
              </w:tabs>
              <w:spacing w:after="0"/>
              <w:jc w:val="center"/>
              <w:rPr>
                <w:rFonts w:cs="Arial"/>
                <w:sz w:val="22"/>
                <w:szCs w:val="22"/>
              </w:rPr>
            </w:pPr>
          </w:p>
        </w:tc>
        <w:tc>
          <w:tcPr>
            <w:tcW w:w="0" w:type="auto"/>
            <w:vAlign w:val="center"/>
          </w:tcPr>
          <w:p w:rsidR="00DE081C" w:rsidRPr="006225AE" w:rsidRDefault="00DE081C" w:rsidP="00277907">
            <w:pPr>
              <w:tabs>
                <w:tab w:val="left" w:pos="567"/>
                <w:tab w:val="left" w:pos="1134"/>
              </w:tabs>
              <w:spacing w:after="0"/>
              <w:jc w:val="center"/>
              <w:rPr>
                <w:rFonts w:cs="Arial"/>
                <w:sz w:val="22"/>
                <w:szCs w:val="22"/>
              </w:rPr>
            </w:pPr>
          </w:p>
        </w:tc>
        <w:tc>
          <w:tcPr>
            <w:tcW w:w="0" w:type="auto"/>
            <w:vAlign w:val="center"/>
          </w:tcPr>
          <w:p w:rsidR="00DE081C" w:rsidRPr="006225AE" w:rsidRDefault="00DE081C" w:rsidP="00277907">
            <w:pPr>
              <w:tabs>
                <w:tab w:val="left" w:pos="567"/>
                <w:tab w:val="left" w:pos="1134"/>
              </w:tabs>
              <w:spacing w:after="0"/>
              <w:jc w:val="center"/>
              <w:rPr>
                <w:rFonts w:cs="Arial"/>
                <w:sz w:val="22"/>
                <w:szCs w:val="22"/>
              </w:rPr>
            </w:pPr>
          </w:p>
        </w:tc>
        <w:tc>
          <w:tcPr>
            <w:tcW w:w="0" w:type="auto"/>
            <w:vAlign w:val="center"/>
          </w:tcPr>
          <w:p w:rsidR="00DE081C" w:rsidRPr="006225AE" w:rsidRDefault="00DE081C" w:rsidP="00277907">
            <w:pPr>
              <w:tabs>
                <w:tab w:val="left" w:pos="567"/>
                <w:tab w:val="left" w:pos="1134"/>
              </w:tabs>
              <w:spacing w:after="0"/>
              <w:jc w:val="center"/>
              <w:rPr>
                <w:rFonts w:cs="Arial"/>
                <w:sz w:val="22"/>
                <w:szCs w:val="22"/>
              </w:rPr>
            </w:pPr>
          </w:p>
        </w:tc>
        <w:tc>
          <w:tcPr>
            <w:tcW w:w="1084" w:type="dxa"/>
            <w:shd w:val="clear" w:color="auto" w:fill="auto"/>
            <w:vAlign w:val="center"/>
          </w:tcPr>
          <w:p w:rsidR="00DE081C" w:rsidRPr="006225AE" w:rsidRDefault="00D632A2" w:rsidP="00277907">
            <w:pPr>
              <w:tabs>
                <w:tab w:val="left" w:pos="567"/>
                <w:tab w:val="left" w:pos="1134"/>
              </w:tabs>
              <w:spacing w:after="0"/>
              <w:jc w:val="center"/>
              <w:rPr>
                <w:rFonts w:cs="Arial"/>
                <w:b/>
                <w:sz w:val="22"/>
                <w:szCs w:val="22"/>
              </w:rPr>
            </w:pPr>
            <w:r>
              <w:rPr>
                <w:rFonts w:cs="Arial"/>
                <w:b/>
                <w:sz w:val="22"/>
                <w:szCs w:val="22"/>
              </w:rPr>
              <w:t>-</w:t>
            </w:r>
            <w:r w:rsidR="00B74433">
              <w:rPr>
                <w:rFonts w:cs="Arial"/>
                <w:b/>
                <w:sz w:val="22"/>
                <w:szCs w:val="22"/>
              </w:rPr>
              <w:t>15.515</w:t>
            </w:r>
          </w:p>
        </w:tc>
      </w:tr>
      <w:tr w:rsidR="00DE081C" w:rsidRPr="006225AE" w:rsidTr="00D632A2">
        <w:trPr>
          <w:trHeight w:val="575"/>
          <w:jc w:val="center"/>
        </w:trPr>
        <w:tc>
          <w:tcPr>
            <w:tcW w:w="0" w:type="auto"/>
            <w:vAlign w:val="center"/>
          </w:tcPr>
          <w:p w:rsidR="00DE081C" w:rsidRPr="006225AE" w:rsidRDefault="009D2B1C" w:rsidP="00DE081C">
            <w:pPr>
              <w:tabs>
                <w:tab w:val="left" w:pos="567"/>
                <w:tab w:val="left" w:pos="1134"/>
              </w:tabs>
              <w:spacing w:after="0"/>
              <w:jc w:val="left"/>
              <w:rPr>
                <w:rFonts w:cs="Arial"/>
                <w:sz w:val="22"/>
                <w:szCs w:val="22"/>
              </w:rPr>
            </w:pPr>
            <w:r>
              <w:rPr>
                <w:rFonts w:cs="Arial"/>
                <w:sz w:val="22"/>
                <w:szCs w:val="22"/>
              </w:rPr>
              <w:t>Capital receipts application</w:t>
            </w:r>
          </w:p>
        </w:tc>
        <w:tc>
          <w:tcPr>
            <w:tcW w:w="0" w:type="auto"/>
            <w:shd w:val="clear" w:color="auto" w:fill="auto"/>
            <w:vAlign w:val="center"/>
          </w:tcPr>
          <w:p w:rsidR="00DE081C" w:rsidRPr="006225AE" w:rsidRDefault="00B74433" w:rsidP="00277907">
            <w:pPr>
              <w:tabs>
                <w:tab w:val="left" w:pos="567"/>
                <w:tab w:val="left" w:pos="1134"/>
              </w:tabs>
              <w:spacing w:after="0"/>
              <w:jc w:val="center"/>
              <w:rPr>
                <w:rFonts w:cs="Arial"/>
                <w:sz w:val="22"/>
                <w:szCs w:val="22"/>
              </w:rPr>
            </w:pPr>
            <w:r>
              <w:rPr>
                <w:rFonts w:cs="Arial"/>
                <w:sz w:val="22"/>
                <w:szCs w:val="22"/>
              </w:rPr>
              <w:t>-5.000</w:t>
            </w:r>
          </w:p>
        </w:tc>
        <w:tc>
          <w:tcPr>
            <w:tcW w:w="0" w:type="auto"/>
            <w:shd w:val="clear" w:color="auto" w:fill="auto"/>
            <w:vAlign w:val="center"/>
          </w:tcPr>
          <w:p w:rsidR="00DE081C" w:rsidRPr="006225AE" w:rsidRDefault="00B74433" w:rsidP="00277907">
            <w:pPr>
              <w:tabs>
                <w:tab w:val="left" w:pos="567"/>
                <w:tab w:val="left" w:pos="1134"/>
              </w:tabs>
              <w:spacing w:after="0"/>
              <w:jc w:val="center"/>
              <w:rPr>
                <w:rFonts w:cs="Arial"/>
                <w:sz w:val="22"/>
                <w:szCs w:val="22"/>
              </w:rPr>
            </w:pPr>
            <w:r>
              <w:rPr>
                <w:rFonts w:cs="Arial"/>
                <w:sz w:val="22"/>
                <w:szCs w:val="22"/>
              </w:rPr>
              <w:t>-7.500</w:t>
            </w:r>
          </w:p>
        </w:tc>
        <w:tc>
          <w:tcPr>
            <w:tcW w:w="0" w:type="auto"/>
            <w:shd w:val="clear" w:color="auto" w:fill="auto"/>
            <w:vAlign w:val="center"/>
          </w:tcPr>
          <w:p w:rsidR="00DE081C" w:rsidRPr="006225AE" w:rsidRDefault="00F22685" w:rsidP="00277907">
            <w:pPr>
              <w:tabs>
                <w:tab w:val="left" w:pos="567"/>
                <w:tab w:val="left" w:pos="1134"/>
              </w:tabs>
              <w:spacing w:after="0"/>
              <w:jc w:val="center"/>
              <w:rPr>
                <w:rFonts w:cs="Arial"/>
                <w:sz w:val="22"/>
                <w:szCs w:val="22"/>
              </w:rPr>
            </w:pPr>
            <w:r>
              <w:rPr>
                <w:rFonts w:cs="Arial"/>
                <w:sz w:val="22"/>
                <w:szCs w:val="22"/>
              </w:rPr>
              <w:t>7.500</w:t>
            </w:r>
          </w:p>
        </w:tc>
        <w:tc>
          <w:tcPr>
            <w:tcW w:w="0" w:type="auto"/>
            <w:shd w:val="clear" w:color="auto" w:fill="auto"/>
            <w:vAlign w:val="center"/>
          </w:tcPr>
          <w:p w:rsidR="00DE081C" w:rsidRPr="006225AE" w:rsidRDefault="00F22685" w:rsidP="00277907">
            <w:pPr>
              <w:tabs>
                <w:tab w:val="left" w:pos="567"/>
                <w:tab w:val="left" w:pos="1134"/>
              </w:tabs>
              <w:spacing w:after="0"/>
              <w:jc w:val="center"/>
              <w:rPr>
                <w:rFonts w:cs="Arial"/>
                <w:sz w:val="22"/>
                <w:szCs w:val="22"/>
              </w:rPr>
            </w:pPr>
            <w:r>
              <w:rPr>
                <w:rFonts w:cs="Arial"/>
                <w:sz w:val="22"/>
                <w:szCs w:val="22"/>
              </w:rPr>
              <w:t>5.000</w:t>
            </w:r>
          </w:p>
        </w:tc>
        <w:tc>
          <w:tcPr>
            <w:tcW w:w="0" w:type="auto"/>
            <w:vAlign w:val="center"/>
          </w:tcPr>
          <w:p w:rsidR="00DE081C" w:rsidRPr="006225AE" w:rsidRDefault="00DE081C" w:rsidP="00277907">
            <w:pPr>
              <w:tabs>
                <w:tab w:val="left" w:pos="567"/>
                <w:tab w:val="left" w:pos="1134"/>
              </w:tabs>
              <w:spacing w:after="0"/>
              <w:jc w:val="center"/>
              <w:rPr>
                <w:rFonts w:cs="Arial"/>
                <w:sz w:val="22"/>
                <w:szCs w:val="22"/>
              </w:rPr>
            </w:pPr>
          </w:p>
        </w:tc>
        <w:tc>
          <w:tcPr>
            <w:tcW w:w="1084" w:type="dxa"/>
            <w:shd w:val="clear" w:color="auto" w:fill="auto"/>
            <w:vAlign w:val="center"/>
          </w:tcPr>
          <w:p w:rsidR="00DE081C" w:rsidRPr="006225AE" w:rsidRDefault="00B74433" w:rsidP="00277907">
            <w:pPr>
              <w:tabs>
                <w:tab w:val="left" w:pos="567"/>
                <w:tab w:val="left" w:pos="1134"/>
              </w:tabs>
              <w:spacing w:after="0"/>
              <w:jc w:val="center"/>
              <w:rPr>
                <w:rFonts w:cs="Arial"/>
                <w:b/>
                <w:sz w:val="22"/>
                <w:szCs w:val="22"/>
              </w:rPr>
            </w:pPr>
            <w:r>
              <w:rPr>
                <w:rFonts w:cs="Arial"/>
                <w:b/>
                <w:sz w:val="22"/>
                <w:szCs w:val="22"/>
              </w:rPr>
              <w:t>0.000</w:t>
            </w:r>
          </w:p>
        </w:tc>
      </w:tr>
      <w:tr w:rsidR="00B74433" w:rsidRPr="006225AE" w:rsidTr="00D632A2">
        <w:trPr>
          <w:trHeight w:val="575"/>
          <w:jc w:val="center"/>
        </w:trPr>
        <w:tc>
          <w:tcPr>
            <w:tcW w:w="0" w:type="auto"/>
            <w:vAlign w:val="center"/>
          </w:tcPr>
          <w:p w:rsidR="00B74433" w:rsidRDefault="00B74433" w:rsidP="00DE081C">
            <w:pPr>
              <w:tabs>
                <w:tab w:val="left" w:pos="567"/>
                <w:tab w:val="left" w:pos="1134"/>
              </w:tabs>
              <w:spacing w:after="0"/>
              <w:jc w:val="left"/>
              <w:rPr>
                <w:rFonts w:cs="Arial"/>
                <w:sz w:val="22"/>
                <w:szCs w:val="22"/>
              </w:rPr>
            </w:pPr>
            <w:r>
              <w:rPr>
                <w:rFonts w:cs="Arial"/>
                <w:sz w:val="22"/>
                <w:szCs w:val="22"/>
              </w:rPr>
              <w:t>Business rate pooling</w:t>
            </w:r>
          </w:p>
        </w:tc>
        <w:tc>
          <w:tcPr>
            <w:tcW w:w="0" w:type="auto"/>
            <w:shd w:val="clear" w:color="auto" w:fill="auto"/>
            <w:vAlign w:val="center"/>
          </w:tcPr>
          <w:p w:rsidR="00B74433" w:rsidRDefault="00B74433" w:rsidP="00277907">
            <w:pPr>
              <w:tabs>
                <w:tab w:val="left" w:pos="567"/>
                <w:tab w:val="left" w:pos="1134"/>
              </w:tabs>
              <w:spacing w:after="0"/>
              <w:jc w:val="center"/>
              <w:rPr>
                <w:rFonts w:cs="Arial"/>
                <w:sz w:val="22"/>
                <w:szCs w:val="22"/>
              </w:rPr>
            </w:pPr>
            <w:r>
              <w:rPr>
                <w:rFonts w:cs="Arial"/>
                <w:sz w:val="22"/>
                <w:szCs w:val="22"/>
              </w:rPr>
              <w:t>-0.4</w:t>
            </w:r>
            <w:r w:rsidR="00277907">
              <w:rPr>
                <w:rFonts w:cs="Arial"/>
                <w:sz w:val="22"/>
                <w:szCs w:val="22"/>
              </w:rPr>
              <w:t>00</w:t>
            </w:r>
          </w:p>
        </w:tc>
        <w:tc>
          <w:tcPr>
            <w:tcW w:w="0" w:type="auto"/>
            <w:shd w:val="clear" w:color="auto" w:fill="auto"/>
            <w:vAlign w:val="center"/>
          </w:tcPr>
          <w:p w:rsidR="00B74433" w:rsidRDefault="00B74433" w:rsidP="00277907">
            <w:pPr>
              <w:tabs>
                <w:tab w:val="left" w:pos="567"/>
                <w:tab w:val="left" w:pos="1134"/>
              </w:tabs>
              <w:spacing w:after="0"/>
              <w:jc w:val="center"/>
              <w:rPr>
                <w:rFonts w:cs="Arial"/>
                <w:sz w:val="22"/>
                <w:szCs w:val="22"/>
              </w:rPr>
            </w:pPr>
            <w:r>
              <w:rPr>
                <w:rFonts w:cs="Arial"/>
                <w:sz w:val="22"/>
                <w:szCs w:val="22"/>
              </w:rPr>
              <w:t>0.4</w:t>
            </w:r>
            <w:r w:rsidR="00277907">
              <w:rPr>
                <w:rFonts w:cs="Arial"/>
                <w:sz w:val="22"/>
                <w:szCs w:val="22"/>
              </w:rPr>
              <w:t>00</w:t>
            </w:r>
          </w:p>
        </w:tc>
        <w:tc>
          <w:tcPr>
            <w:tcW w:w="0" w:type="auto"/>
            <w:shd w:val="clear" w:color="auto" w:fill="auto"/>
            <w:vAlign w:val="center"/>
          </w:tcPr>
          <w:p w:rsidR="00B74433" w:rsidRDefault="00B74433" w:rsidP="00277907">
            <w:pPr>
              <w:tabs>
                <w:tab w:val="left" w:pos="567"/>
                <w:tab w:val="left" w:pos="1134"/>
              </w:tabs>
              <w:spacing w:after="0"/>
              <w:jc w:val="center"/>
              <w:rPr>
                <w:rFonts w:cs="Arial"/>
                <w:sz w:val="22"/>
                <w:szCs w:val="22"/>
              </w:rPr>
            </w:pPr>
          </w:p>
        </w:tc>
        <w:tc>
          <w:tcPr>
            <w:tcW w:w="0" w:type="auto"/>
            <w:shd w:val="clear" w:color="auto" w:fill="auto"/>
            <w:vAlign w:val="center"/>
          </w:tcPr>
          <w:p w:rsidR="00B74433" w:rsidRDefault="00B74433" w:rsidP="00277907">
            <w:pPr>
              <w:tabs>
                <w:tab w:val="left" w:pos="567"/>
                <w:tab w:val="left" w:pos="1134"/>
              </w:tabs>
              <w:spacing w:after="0"/>
              <w:jc w:val="center"/>
              <w:rPr>
                <w:rFonts w:cs="Arial"/>
                <w:sz w:val="22"/>
                <w:szCs w:val="22"/>
              </w:rPr>
            </w:pPr>
          </w:p>
        </w:tc>
        <w:tc>
          <w:tcPr>
            <w:tcW w:w="0" w:type="auto"/>
            <w:vAlign w:val="center"/>
          </w:tcPr>
          <w:p w:rsidR="00B74433" w:rsidRPr="006225AE" w:rsidRDefault="00B74433" w:rsidP="00277907">
            <w:pPr>
              <w:tabs>
                <w:tab w:val="left" w:pos="567"/>
                <w:tab w:val="left" w:pos="1134"/>
              </w:tabs>
              <w:spacing w:after="0"/>
              <w:jc w:val="center"/>
              <w:rPr>
                <w:rFonts w:cs="Arial"/>
                <w:sz w:val="22"/>
                <w:szCs w:val="22"/>
              </w:rPr>
            </w:pPr>
          </w:p>
        </w:tc>
        <w:tc>
          <w:tcPr>
            <w:tcW w:w="1084" w:type="dxa"/>
            <w:shd w:val="clear" w:color="auto" w:fill="auto"/>
            <w:vAlign w:val="center"/>
          </w:tcPr>
          <w:p w:rsidR="00B74433" w:rsidRDefault="00B74433" w:rsidP="00277907">
            <w:pPr>
              <w:tabs>
                <w:tab w:val="left" w:pos="567"/>
                <w:tab w:val="left" w:pos="1134"/>
              </w:tabs>
              <w:spacing w:after="0"/>
              <w:jc w:val="center"/>
              <w:rPr>
                <w:rFonts w:cs="Arial"/>
                <w:b/>
                <w:sz w:val="22"/>
                <w:szCs w:val="22"/>
              </w:rPr>
            </w:pPr>
            <w:r>
              <w:rPr>
                <w:rFonts w:cs="Arial"/>
                <w:b/>
                <w:sz w:val="22"/>
                <w:szCs w:val="22"/>
              </w:rPr>
              <w:t>0.000</w:t>
            </w:r>
          </w:p>
        </w:tc>
      </w:tr>
      <w:tr w:rsidR="00DE081C" w:rsidRPr="006225AE" w:rsidTr="00D632A2">
        <w:trPr>
          <w:trHeight w:val="725"/>
          <w:jc w:val="center"/>
        </w:trPr>
        <w:tc>
          <w:tcPr>
            <w:tcW w:w="0" w:type="auto"/>
            <w:shd w:val="clear" w:color="auto" w:fill="BFBFBF" w:themeFill="background1" w:themeFillShade="BF"/>
            <w:vAlign w:val="center"/>
          </w:tcPr>
          <w:p w:rsidR="00DE081C" w:rsidRPr="006225AE" w:rsidRDefault="00DE081C" w:rsidP="00DE081C">
            <w:pPr>
              <w:tabs>
                <w:tab w:val="left" w:pos="567"/>
                <w:tab w:val="left" w:pos="1134"/>
              </w:tabs>
              <w:spacing w:after="0"/>
              <w:jc w:val="left"/>
              <w:rPr>
                <w:rFonts w:cs="Arial"/>
                <w:b/>
                <w:sz w:val="22"/>
                <w:szCs w:val="22"/>
              </w:rPr>
            </w:pPr>
            <w:r w:rsidRPr="006225AE">
              <w:rPr>
                <w:rFonts w:cs="Arial"/>
                <w:b/>
                <w:sz w:val="22"/>
                <w:szCs w:val="22"/>
              </w:rPr>
              <w:t>Revised Funding Gap</w:t>
            </w:r>
          </w:p>
        </w:tc>
        <w:tc>
          <w:tcPr>
            <w:tcW w:w="0" w:type="auto"/>
            <w:shd w:val="clear" w:color="auto" w:fill="BFBFBF" w:themeFill="background1" w:themeFillShade="BF"/>
            <w:vAlign w:val="center"/>
          </w:tcPr>
          <w:p w:rsidR="009E4733" w:rsidRPr="006225AE" w:rsidRDefault="009E4733" w:rsidP="00277907">
            <w:pPr>
              <w:tabs>
                <w:tab w:val="left" w:pos="567"/>
                <w:tab w:val="left" w:pos="1134"/>
              </w:tabs>
              <w:spacing w:after="0"/>
              <w:jc w:val="center"/>
              <w:rPr>
                <w:rFonts w:cs="Arial"/>
                <w:b/>
                <w:sz w:val="22"/>
                <w:szCs w:val="22"/>
              </w:rPr>
            </w:pPr>
          </w:p>
          <w:p w:rsidR="00DE081C" w:rsidRPr="006225AE" w:rsidRDefault="009F034D" w:rsidP="00277907">
            <w:pPr>
              <w:tabs>
                <w:tab w:val="left" w:pos="567"/>
                <w:tab w:val="left" w:pos="1134"/>
              </w:tabs>
              <w:spacing w:after="0"/>
              <w:jc w:val="center"/>
              <w:rPr>
                <w:rFonts w:cs="Arial"/>
                <w:b/>
                <w:sz w:val="22"/>
                <w:szCs w:val="22"/>
              </w:rPr>
            </w:pPr>
            <w:r w:rsidRPr="006225AE">
              <w:rPr>
                <w:rFonts w:cs="Arial"/>
                <w:b/>
                <w:sz w:val="22"/>
                <w:szCs w:val="22"/>
              </w:rPr>
              <w:t>23.25</w:t>
            </w:r>
            <w:r w:rsidR="00F22685">
              <w:rPr>
                <w:rFonts w:cs="Arial"/>
                <w:b/>
                <w:sz w:val="22"/>
                <w:szCs w:val="22"/>
              </w:rPr>
              <w:t>7</w:t>
            </w:r>
          </w:p>
          <w:p w:rsidR="00AE3BC9" w:rsidRPr="006225AE" w:rsidRDefault="00AE3BC9" w:rsidP="00277907">
            <w:pPr>
              <w:tabs>
                <w:tab w:val="left" w:pos="567"/>
                <w:tab w:val="left" w:pos="1134"/>
              </w:tabs>
              <w:spacing w:after="0"/>
              <w:jc w:val="center"/>
              <w:rPr>
                <w:rFonts w:cs="Arial"/>
                <w:b/>
                <w:sz w:val="22"/>
                <w:szCs w:val="22"/>
              </w:rPr>
            </w:pPr>
          </w:p>
        </w:tc>
        <w:tc>
          <w:tcPr>
            <w:tcW w:w="0" w:type="auto"/>
            <w:shd w:val="clear" w:color="auto" w:fill="BFBFBF" w:themeFill="background1" w:themeFillShade="BF"/>
            <w:vAlign w:val="center"/>
          </w:tcPr>
          <w:p w:rsidR="00DE081C" w:rsidRPr="006225AE" w:rsidRDefault="009F034D" w:rsidP="00277907">
            <w:pPr>
              <w:tabs>
                <w:tab w:val="left" w:pos="567"/>
                <w:tab w:val="left" w:pos="1134"/>
              </w:tabs>
              <w:spacing w:after="0"/>
              <w:jc w:val="center"/>
              <w:rPr>
                <w:rFonts w:cs="Arial"/>
                <w:b/>
                <w:sz w:val="22"/>
                <w:szCs w:val="22"/>
              </w:rPr>
            </w:pPr>
            <w:r w:rsidRPr="006225AE">
              <w:rPr>
                <w:rFonts w:cs="Arial"/>
                <w:b/>
                <w:sz w:val="22"/>
                <w:szCs w:val="22"/>
              </w:rPr>
              <w:t>28.27</w:t>
            </w:r>
            <w:r w:rsidR="00F22685">
              <w:rPr>
                <w:rFonts w:cs="Arial"/>
                <w:b/>
                <w:sz w:val="22"/>
                <w:szCs w:val="22"/>
              </w:rPr>
              <w:t>8</w:t>
            </w:r>
          </w:p>
        </w:tc>
        <w:tc>
          <w:tcPr>
            <w:tcW w:w="0" w:type="auto"/>
            <w:shd w:val="clear" w:color="auto" w:fill="BFBFBF" w:themeFill="background1" w:themeFillShade="BF"/>
            <w:vAlign w:val="center"/>
          </w:tcPr>
          <w:p w:rsidR="00DE081C" w:rsidRPr="006225AE" w:rsidRDefault="009F034D" w:rsidP="00277907">
            <w:pPr>
              <w:tabs>
                <w:tab w:val="left" w:pos="567"/>
                <w:tab w:val="left" w:pos="1134"/>
              </w:tabs>
              <w:spacing w:after="0"/>
              <w:jc w:val="center"/>
              <w:rPr>
                <w:rFonts w:cs="Arial"/>
                <w:b/>
                <w:sz w:val="22"/>
                <w:szCs w:val="22"/>
              </w:rPr>
            </w:pPr>
            <w:r w:rsidRPr="006225AE">
              <w:rPr>
                <w:rFonts w:cs="Arial"/>
                <w:b/>
                <w:sz w:val="22"/>
                <w:szCs w:val="22"/>
              </w:rPr>
              <w:t>50.579</w:t>
            </w:r>
          </w:p>
        </w:tc>
        <w:tc>
          <w:tcPr>
            <w:tcW w:w="0" w:type="auto"/>
            <w:shd w:val="clear" w:color="auto" w:fill="BFBFBF" w:themeFill="background1" w:themeFillShade="BF"/>
            <w:vAlign w:val="center"/>
          </w:tcPr>
          <w:p w:rsidR="00DE081C" w:rsidRPr="006225AE" w:rsidRDefault="009F034D" w:rsidP="00277907">
            <w:pPr>
              <w:tabs>
                <w:tab w:val="left" w:pos="567"/>
                <w:tab w:val="left" w:pos="1134"/>
              </w:tabs>
              <w:spacing w:after="0"/>
              <w:jc w:val="center"/>
              <w:rPr>
                <w:rFonts w:cs="Arial"/>
                <w:b/>
                <w:sz w:val="22"/>
                <w:szCs w:val="22"/>
              </w:rPr>
            </w:pPr>
            <w:r w:rsidRPr="006225AE">
              <w:rPr>
                <w:rFonts w:cs="Arial"/>
                <w:b/>
                <w:sz w:val="22"/>
                <w:szCs w:val="22"/>
              </w:rPr>
              <w:t>50.614</w:t>
            </w:r>
          </w:p>
        </w:tc>
        <w:tc>
          <w:tcPr>
            <w:tcW w:w="0" w:type="auto"/>
            <w:shd w:val="clear" w:color="auto" w:fill="BFBFBF" w:themeFill="background1" w:themeFillShade="BF"/>
            <w:vAlign w:val="center"/>
          </w:tcPr>
          <w:p w:rsidR="00DE081C" w:rsidRPr="006225AE" w:rsidRDefault="009F034D" w:rsidP="00277907">
            <w:pPr>
              <w:tabs>
                <w:tab w:val="left" w:pos="567"/>
                <w:tab w:val="left" w:pos="1134"/>
              </w:tabs>
              <w:spacing w:after="0"/>
              <w:jc w:val="center"/>
              <w:rPr>
                <w:rFonts w:cs="Arial"/>
                <w:b/>
                <w:sz w:val="22"/>
                <w:szCs w:val="22"/>
              </w:rPr>
            </w:pPr>
            <w:r w:rsidRPr="006225AE">
              <w:rPr>
                <w:rFonts w:cs="Arial"/>
                <w:b/>
                <w:sz w:val="22"/>
                <w:szCs w:val="22"/>
              </w:rPr>
              <w:t>47.779</w:t>
            </w:r>
          </w:p>
        </w:tc>
        <w:tc>
          <w:tcPr>
            <w:tcW w:w="1084" w:type="dxa"/>
            <w:shd w:val="clear" w:color="auto" w:fill="BFBFBF" w:themeFill="background1" w:themeFillShade="BF"/>
            <w:vAlign w:val="center"/>
          </w:tcPr>
          <w:p w:rsidR="00DE081C" w:rsidRPr="006225AE" w:rsidRDefault="00DE081C" w:rsidP="00277907">
            <w:pPr>
              <w:tabs>
                <w:tab w:val="left" w:pos="567"/>
                <w:tab w:val="left" w:pos="1134"/>
              </w:tabs>
              <w:spacing w:after="0"/>
              <w:jc w:val="center"/>
              <w:rPr>
                <w:rFonts w:cs="Arial"/>
                <w:b/>
                <w:sz w:val="22"/>
                <w:szCs w:val="22"/>
              </w:rPr>
            </w:pPr>
            <w:r w:rsidRPr="006225AE">
              <w:rPr>
                <w:rFonts w:cs="Arial"/>
                <w:b/>
                <w:sz w:val="22"/>
                <w:szCs w:val="22"/>
              </w:rPr>
              <w:t>200.50</w:t>
            </w:r>
            <w:r w:rsidR="00FD5928" w:rsidRPr="006225AE">
              <w:rPr>
                <w:rFonts w:cs="Arial"/>
                <w:b/>
                <w:sz w:val="22"/>
                <w:szCs w:val="22"/>
              </w:rPr>
              <w:t>7</w:t>
            </w:r>
          </w:p>
        </w:tc>
      </w:tr>
      <w:tr w:rsidR="00DE081C" w:rsidRPr="006225AE" w:rsidTr="00D632A2">
        <w:trPr>
          <w:trHeight w:val="666"/>
          <w:jc w:val="center"/>
        </w:trPr>
        <w:tc>
          <w:tcPr>
            <w:tcW w:w="0" w:type="auto"/>
            <w:shd w:val="clear" w:color="auto" w:fill="BFBFBF" w:themeFill="background1" w:themeFillShade="BF"/>
            <w:vAlign w:val="center"/>
          </w:tcPr>
          <w:p w:rsidR="00DE081C" w:rsidRPr="006225AE" w:rsidRDefault="00DE081C" w:rsidP="00DE081C">
            <w:pPr>
              <w:tabs>
                <w:tab w:val="left" w:pos="567"/>
                <w:tab w:val="left" w:pos="1134"/>
              </w:tabs>
              <w:spacing w:after="0"/>
              <w:jc w:val="left"/>
              <w:rPr>
                <w:rFonts w:cs="Arial"/>
                <w:b/>
                <w:sz w:val="22"/>
                <w:szCs w:val="22"/>
              </w:rPr>
            </w:pPr>
            <w:r w:rsidRPr="006225AE">
              <w:rPr>
                <w:rFonts w:cs="Arial"/>
                <w:b/>
                <w:sz w:val="22"/>
                <w:szCs w:val="22"/>
              </w:rPr>
              <w:t>Change in Funding Gap</w:t>
            </w:r>
          </w:p>
        </w:tc>
        <w:tc>
          <w:tcPr>
            <w:tcW w:w="0" w:type="auto"/>
            <w:shd w:val="clear" w:color="auto" w:fill="BFBFBF" w:themeFill="background1" w:themeFillShade="BF"/>
            <w:vAlign w:val="center"/>
          </w:tcPr>
          <w:p w:rsidR="00DE081C" w:rsidRPr="006225AE" w:rsidRDefault="00AE3BC9" w:rsidP="00277907">
            <w:pPr>
              <w:tabs>
                <w:tab w:val="left" w:pos="567"/>
                <w:tab w:val="left" w:pos="1134"/>
              </w:tabs>
              <w:spacing w:after="0"/>
              <w:jc w:val="center"/>
              <w:rPr>
                <w:rFonts w:cs="Arial"/>
                <w:b/>
                <w:sz w:val="22"/>
                <w:szCs w:val="22"/>
              </w:rPr>
            </w:pPr>
            <w:r w:rsidRPr="006225AE">
              <w:rPr>
                <w:rFonts w:cs="Arial"/>
                <w:b/>
                <w:sz w:val="22"/>
                <w:szCs w:val="22"/>
              </w:rPr>
              <w:t>-66.91</w:t>
            </w:r>
            <w:r w:rsidR="00F22685">
              <w:rPr>
                <w:rFonts w:cs="Arial"/>
                <w:b/>
                <w:sz w:val="22"/>
                <w:szCs w:val="22"/>
              </w:rPr>
              <w:t>7</w:t>
            </w:r>
          </w:p>
        </w:tc>
        <w:tc>
          <w:tcPr>
            <w:tcW w:w="0" w:type="auto"/>
            <w:shd w:val="clear" w:color="auto" w:fill="BFBFBF" w:themeFill="background1" w:themeFillShade="BF"/>
            <w:vAlign w:val="center"/>
          </w:tcPr>
          <w:p w:rsidR="00DE081C" w:rsidRPr="006225AE" w:rsidRDefault="00AE3BC9" w:rsidP="00277907">
            <w:pPr>
              <w:tabs>
                <w:tab w:val="left" w:pos="567"/>
                <w:tab w:val="left" w:pos="1134"/>
              </w:tabs>
              <w:spacing w:after="0"/>
              <w:jc w:val="center"/>
              <w:rPr>
                <w:rFonts w:cs="Arial"/>
                <w:b/>
                <w:sz w:val="22"/>
                <w:szCs w:val="22"/>
              </w:rPr>
            </w:pPr>
            <w:r w:rsidRPr="006225AE">
              <w:rPr>
                <w:rFonts w:cs="Arial"/>
                <w:b/>
                <w:sz w:val="22"/>
                <w:szCs w:val="22"/>
              </w:rPr>
              <w:t>6.33</w:t>
            </w:r>
            <w:r w:rsidR="00F22685">
              <w:rPr>
                <w:rFonts w:cs="Arial"/>
                <w:b/>
                <w:sz w:val="22"/>
                <w:szCs w:val="22"/>
              </w:rPr>
              <w:t>8</w:t>
            </w:r>
          </w:p>
        </w:tc>
        <w:tc>
          <w:tcPr>
            <w:tcW w:w="0" w:type="auto"/>
            <w:shd w:val="clear" w:color="auto" w:fill="BFBFBF" w:themeFill="background1" w:themeFillShade="BF"/>
            <w:vAlign w:val="center"/>
          </w:tcPr>
          <w:p w:rsidR="00DE081C" w:rsidRPr="006225AE" w:rsidRDefault="00AE3BC9" w:rsidP="00277907">
            <w:pPr>
              <w:tabs>
                <w:tab w:val="left" w:pos="567"/>
                <w:tab w:val="left" w:pos="1134"/>
              </w:tabs>
              <w:spacing w:after="0"/>
              <w:jc w:val="center"/>
              <w:rPr>
                <w:rFonts w:cs="Arial"/>
                <w:b/>
                <w:sz w:val="22"/>
                <w:szCs w:val="22"/>
              </w:rPr>
            </w:pPr>
            <w:r w:rsidRPr="006225AE">
              <w:rPr>
                <w:rFonts w:cs="Arial"/>
                <w:b/>
                <w:sz w:val="22"/>
                <w:szCs w:val="22"/>
              </w:rPr>
              <w:t>-5.439</w:t>
            </w:r>
          </w:p>
        </w:tc>
        <w:tc>
          <w:tcPr>
            <w:tcW w:w="0" w:type="auto"/>
            <w:shd w:val="clear" w:color="auto" w:fill="BFBFBF" w:themeFill="background1" w:themeFillShade="BF"/>
            <w:vAlign w:val="center"/>
          </w:tcPr>
          <w:p w:rsidR="00DE081C" w:rsidRPr="006225AE" w:rsidRDefault="00AE3BC9" w:rsidP="00277907">
            <w:pPr>
              <w:tabs>
                <w:tab w:val="left" w:pos="567"/>
                <w:tab w:val="left" w:pos="1134"/>
              </w:tabs>
              <w:spacing w:after="0"/>
              <w:jc w:val="center"/>
              <w:rPr>
                <w:rFonts w:cs="Arial"/>
                <w:b/>
                <w:sz w:val="22"/>
                <w:szCs w:val="22"/>
              </w:rPr>
            </w:pPr>
            <w:r w:rsidRPr="006225AE">
              <w:rPr>
                <w:rFonts w:cs="Arial"/>
                <w:b/>
                <w:sz w:val="22"/>
                <w:szCs w:val="22"/>
              </w:rPr>
              <w:t>3.022</w:t>
            </w:r>
          </w:p>
        </w:tc>
        <w:tc>
          <w:tcPr>
            <w:tcW w:w="0" w:type="auto"/>
            <w:shd w:val="clear" w:color="auto" w:fill="BFBFBF" w:themeFill="background1" w:themeFillShade="BF"/>
            <w:vAlign w:val="center"/>
          </w:tcPr>
          <w:p w:rsidR="00DE081C" w:rsidRPr="006225AE" w:rsidRDefault="00AE3BC9" w:rsidP="00277907">
            <w:pPr>
              <w:tabs>
                <w:tab w:val="left" w:pos="567"/>
                <w:tab w:val="left" w:pos="1134"/>
              </w:tabs>
              <w:spacing w:after="0"/>
              <w:jc w:val="center"/>
              <w:rPr>
                <w:rFonts w:cs="Arial"/>
                <w:b/>
                <w:sz w:val="22"/>
                <w:szCs w:val="22"/>
              </w:rPr>
            </w:pPr>
            <w:r w:rsidRPr="006225AE">
              <w:rPr>
                <w:rFonts w:cs="Arial"/>
                <w:b/>
                <w:sz w:val="22"/>
                <w:szCs w:val="22"/>
              </w:rPr>
              <w:t>1.496</w:t>
            </w:r>
          </w:p>
        </w:tc>
        <w:tc>
          <w:tcPr>
            <w:tcW w:w="1084" w:type="dxa"/>
            <w:shd w:val="clear" w:color="auto" w:fill="BFBFBF" w:themeFill="background1" w:themeFillShade="BF"/>
            <w:vAlign w:val="center"/>
          </w:tcPr>
          <w:p w:rsidR="00DE081C" w:rsidRPr="006225AE" w:rsidRDefault="00DE081C" w:rsidP="00277907">
            <w:pPr>
              <w:tabs>
                <w:tab w:val="left" w:pos="567"/>
                <w:tab w:val="left" w:pos="1134"/>
              </w:tabs>
              <w:spacing w:after="0"/>
              <w:jc w:val="center"/>
              <w:rPr>
                <w:rFonts w:cs="Arial"/>
                <w:b/>
                <w:sz w:val="22"/>
                <w:szCs w:val="22"/>
              </w:rPr>
            </w:pPr>
            <w:r w:rsidRPr="006225AE">
              <w:rPr>
                <w:rFonts w:cs="Arial"/>
                <w:b/>
                <w:sz w:val="22"/>
                <w:szCs w:val="22"/>
              </w:rPr>
              <w:t>-61.500</w:t>
            </w:r>
          </w:p>
        </w:tc>
      </w:tr>
    </w:tbl>
    <w:p w:rsidR="008150B9" w:rsidRDefault="008150B9" w:rsidP="008D5D96">
      <w:pPr>
        <w:spacing w:after="0"/>
        <w:ind w:left="567" w:hanging="567"/>
        <w:rPr>
          <w:rFonts w:cs="Arial"/>
          <w:b/>
        </w:rPr>
      </w:pPr>
    </w:p>
    <w:p w:rsidR="009215EC" w:rsidRPr="00472F78" w:rsidRDefault="006E0BEE" w:rsidP="008D5D96">
      <w:pPr>
        <w:spacing w:after="0"/>
        <w:ind w:left="567" w:hanging="567"/>
        <w:rPr>
          <w:rFonts w:cs="Arial"/>
          <w:b/>
        </w:rPr>
      </w:pPr>
      <w:r w:rsidRPr="00472F78">
        <w:rPr>
          <w:rFonts w:cs="Arial"/>
          <w:b/>
        </w:rPr>
        <w:lastRenderedPageBreak/>
        <w:t xml:space="preserve">1.2 </w:t>
      </w:r>
      <w:r w:rsidR="009215EC" w:rsidRPr="00472F78">
        <w:rPr>
          <w:rFonts w:cs="Arial"/>
          <w:b/>
        </w:rPr>
        <w:t>Conclusion</w:t>
      </w:r>
    </w:p>
    <w:p w:rsidR="009215EC" w:rsidRPr="00472F78" w:rsidRDefault="009215EC" w:rsidP="008D5D96">
      <w:pPr>
        <w:tabs>
          <w:tab w:val="left" w:pos="567"/>
          <w:tab w:val="left" w:pos="1134"/>
        </w:tabs>
        <w:spacing w:after="0"/>
        <w:rPr>
          <w:rFonts w:cs="Arial"/>
        </w:rPr>
      </w:pPr>
    </w:p>
    <w:p w:rsidR="009215EC" w:rsidRPr="00472F78" w:rsidRDefault="009215EC" w:rsidP="008150B9">
      <w:pPr>
        <w:spacing w:after="0"/>
        <w:rPr>
          <w:rFonts w:cs="Arial"/>
        </w:rPr>
      </w:pPr>
      <w:r w:rsidRPr="00472F78">
        <w:rPr>
          <w:rFonts w:cs="Arial"/>
        </w:rPr>
        <w:t>Lancashire County Council continues to face</w:t>
      </w:r>
      <w:r w:rsidR="008150B9" w:rsidRPr="00472F78">
        <w:rPr>
          <w:rFonts w:cs="Arial"/>
        </w:rPr>
        <w:t>, as previously stated,</w:t>
      </w:r>
      <w:r w:rsidRPr="00472F78">
        <w:rPr>
          <w:rFonts w:cs="Arial"/>
        </w:rPr>
        <w:t xml:space="preserve"> an unprecedented period of financial constraint through to at least 2020/21</w:t>
      </w:r>
      <w:r w:rsidR="00522DCF" w:rsidRPr="00472F78">
        <w:rPr>
          <w:rFonts w:cs="Arial"/>
        </w:rPr>
        <w:t>.</w:t>
      </w:r>
    </w:p>
    <w:p w:rsidR="003D58F1" w:rsidRPr="00472F78" w:rsidRDefault="00522F1E" w:rsidP="008150B9">
      <w:pPr>
        <w:tabs>
          <w:tab w:val="left" w:pos="567"/>
          <w:tab w:val="left" w:pos="1134"/>
        </w:tabs>
        <w:spacing w:after="0"/>
        <w:rPr>
          <w:rFonts w:cs="Arial"/>
        </w:rPr>
      </w:pPr>
      <w:r w:rsidRPr="00472F78">
        <w:rPr>
          <w:rFonts w:cs="Arial"/>
        </w:rPr>
        <w:t xml:space="preserve"> </w:t>
      </w:r>
    </w:p>
    <w:p w:rsidR="009215EC" w:rsidRPr="00472F78" w:rsidRDefault="009215EC" w:rsidP="008150B9">
      <w:pPr>
        <w:spacing w:after="0"/>
        <w:rPr>
          <w:rFonts w:cs="Arial"/>
        </w:rPr>
      </w:pPr>
      <w:r w:rsidRPr="00472F78">
        <w:rPr>
          <w:rFonts w:cs="Arial"/>
        </w:rPr>
        <w:t>The financia</w:t>
      </w:r>
      <w:r w:rsidR="00935FA0" w:rsidRPr="00472F78">
        <w:rPr>
          <w:rFonts w:cs="Arial"/>
        </w:rPr>
        <w:t>l commitment required to fund</w:t>
      </w:r>
      <w:r w:rsidRPr="00472F78">
        <w:rPr>
          <w:rFonts w:cs="Arial"/>
        </w:rPr>
        <w:t xml:space="preserve"> statutory demand led services is almost certain to result in using up all available resources.  The resource available for discretionary services will be minimal (if any exists at all) and at this stage we cannot </w:t>
      </w:r>
      <w:r w:rsidR="007A796C" w:rsidRPr="00472F78">
        <w:rPr>
          <w:rFonts w:cs="Arial"/>
        </w:rPr>
        <w:t>be certain of the point at which</w:t>
      </w:r>
      <w:r w:rsidRPr="00472F78">
        <w:rPr>
          <w:rFonts w:cs="Arial"/>
        </w:rPr>
        <w:t xml:space="preserve"> funding </w:t>
      </w:r>
      <w:r w:rsidR="007A796C" w:rsidRPr="00472F78">
        <w:rPr>
          <w:rFonts w:cs="Arial"/>
        </w:rPr>
        <w:t>may not</w:t>
      </w:r>
      <w:r w:rsidRPr="00472F78">
        <w:rPr>
          <w:rFonts w:cs="Arial"/>
        </w:rPr>
        <w:t xml:space="preserve"> cover</w:t>
      </w:r>
      <w:r w:rsidR="00122E8D" w:rsidRPr="00472F78">
        <w:rPr>
          <w:rFonts w:cs="Arial"/>
        </w:rPr>
        <w:t xml:space="preserve"> statutory demand led services</w:t>
      </w:r>
      <w:r w:rsidR="00AF5B56" w:rsidRPr="00472F78">
        <w:rPr>
          <w:rFonts w:cs="Arial"/>
        </w:rPr>
        <w:t xml:space="preserve"> as the resources have yet to be confirmed</w:t>
      </w:r>
      <w:r w:rsidR="00122E8D" w:rsidRPr="00472F78">
        <w:rPr>
          <w:rFonts w:cs="Arial"/>
        </w:rPr>
        <w:t>.</w:t>
      </w:r>
      <w:r w:rsidR="00AF5B56" w:rsidRPr="00472F78">
        <w:rPr>
          <w:rFonts w:cs="Arial"/>
        </w:rPr>
        <w:t xml:space="preserve"> However, indications from the initial base budget review suggest that there will be insufficient resources to cover statutory services from 2017/18.</w:t>
      </w:r>
    </w:p>
    <w:p w:rsidR="003D58F1" w:rsidRPr="00472F78" w:rsidRDefault="003D58F1" w:rsidP="008150B9">
      <w:pPr>
        <w:spacing w:after="0"/>
        <w:rPr>
          <w:rFonts w:cs="Arial"/>
        </w:rPr>
      </w:pPr>
    </w:p>
    <w:p w:rsidR="009C183C" w:rsidRPr="00472F78" w:rsidRDefault="009C183C" w:rsidP="008150B9">
      <w:pPr>
        <w:tabs>
          <w:tab w:val="left" w:pos="567"/>
          <w:tab w:val="left" w:pos="1134"/>
        </w:tabs>
        <w:spacing w:after="0"/>
        <w:rPr>
          <w:rFonts w:cs="Arial"/>
        </w:rPr>
      </w:pPr>
      <w:r w:rsidRPr="00472F78">
        <w:rPr>
          <w:rFonts w:cs="Arial"/>
        </w:rPr>
        <w:t>The County Council, in redesigning the services it provides to the public</w:t>
      </w:r>
      <w:r w:rsidR="00C143F0" w:rsidRPr="00472F78">
        <w:rPr>
          <w:rFonts w:cs="Arial"/>
        </w:rPr>
        <w:t>,</w:t>
      </w:r>
      <w:r w:rsidRPr="00472F78">
        <w:rPr>
          <w:rFonts w:cs="Arial"/>
        </w:rPr>
        <w:t xml:space="preserve"> faces the challenge of doing so whilst delivering further savings of </w:t>
      </w:r>
      <w:r w:rsidR="001F0E9A" w:rsidRPr="00472F78">
        <w:rPr>
          <w:rFonts w:cs="Arial"/>
        </w:rPr>
        <w:t>an estimated</w:t>
      </w:r>
      <w:r w:rsidRPr="00472F78">
        <w:rPr>
          <w:rFonts w:cs="Arial"/>
        </w:rPr>
        <w:t xml:space="preserve"> £</w:t>
      </w:r>
      <w:r w:rsidR="00E37841" w:rsidRPr="00472F78">
        <w:rPr>
          <w:rFonts w:cs="Arial"/>
        </w:rPr>
        <w:t>200</w:t>
      </w:r>
      <w:r w:rsidRPr="00472F78">
        <w:rPr>
          <w:rFonts w:cs="Arial"/>
        </w:rPr>
        <w:t>m over the next 5 years.</w:t>
      </w:r>
      <w:r w:rsidR="005B6A8A" w:rsidRPr="00472F78">
        <w:rPr>
          <w:rFonts w:cs="Arial"/>
        </w:rPr>
        <w:t xml:space="preserve"> </w:t>
      </w:r>
    </w:p>
    <w:p w:rsidR="005B6A8A" w:rsidRPr="00472F78" w:rsidRDefault="005B6A8A" w:rsidP="008150B9">
      <w:pPr>
        <w:tabs>
          <w:tab w:val="left" w:pos="567"/>
          <w:tab w:val="left" w:pos="1134"/>
        </w:tabs>
        <w:spacing w:after="0"/>
        <w:rPr>
          <w:rFonts w:cs="Arial"/>
        </w:rPr>
      </w:pPr>
    </w:p>
    <w:p w:rsidR="005B6A8A" w:rsidRPr="00472F78" w:rsidRDefault="005B6A8A" w:rsidP="008150B9">
      <w:pPr>
        <w:spacing w:after="0"/>
        <w:rPr>
          <w:rFonts w:cs="Arial"/>
        </w:rPr>
      </w:pPr>
      <w:r w:rsidRPr="00472F78">
        <w:rPr>
          <w:rFonts w:cs="Arial"/>
        </w:rPr>
        <w:t>As part of the process of redesigning its services the County Council has recognised that it will need to utilise its reserves.</w:t>
      </w:r>
      <w:r w:rsidR="00E418A6" w:rsidRPr="00472F78">
        <w:rPr>
          <w:rFonts w:cs="Arial"/>
        </w:rPr>
        <w:t xml:space="preserve"> Details on the reserves are detailed in the </w:t>
      </w:r>
      <w:r w:rsidR="003B0A25" w:rsidRPr="00472F78">
        <w:rPr>
          <w:rFonts w:cs="Arial"/>
        </w:rPr>
        <w:t>Money Matters report Appendix B.</w:t>
      </w:r>
      <w:r w:rsidR="00690476" w:rsidRPr="00472F78">
        <w:rPr>
          <w:rFonts w:cs="Arial"/>
        </w:rPr>
        <w:t xml:space="preserve"> </w:t>
      </w:r>
      <w:r w:rsidRPr="00472F78">
        <w:rPr>
          <w:rFonts w:cs="Arial"/>
        </w:rPr>
        <w:t xml:space="preserve"> </w:t>
      </w:r>
      <w:r w:rsidR="00690476" w:rsidRPr="00472F78">
        <w:rPr>
          <w:rFonts w:cs="Arial"/>
        </w:rPr>
        <w:t>In this report it is noted that a</w:t>
      </w:r>
      <w:r w:rsidRPr="00472F78">
        <w:rPr>
          <w:rFonts w:cs="Arial"/>
        </w:rPr>
        <w:t>s at 1 April 2015 the County Council had reserves of £328.7m of reserves</w:t>
      </w:r>
      <w:r w:rsidR="008F0D20" w:rsidRPr="00472F78">
        <w:rPr>
          <w:rFonts w:cs="Arial"/>
        </w:rPr>
        <w:t>; some of which are already committed.</w:t>
      </w:r>
      <w:r w:rsidRPr="00472F78">
        <w:rPr>
          <w:rFonts w:cs="Arial"/>
        </w:rPr>
        <w:t xml:space="preserve"> </w:t>
      </w:r>
      <w:r w:rsidR="00690476" w:rsidRPr="00472F78">
        <w:rPr>
          <w:rFonts w:cs="Arial"/>
        </w:rPr>
        <w:t>Including the Funding Gap identified in this report</w:t>
      </w:r>
      <w:r w:rsidR="00935FA0" w:rsidRPr="00472F78">
        <w:rPr>
          <w:rFonts w:cs="Arial"/>
        </w:rPr>
        <w:t>, i</w:t>
      </w:r>
      <w:r w:rsidRPr="00472F78">
        <w:rPr>
          <w:rFonts w:cs="Arial"/>
        </w:rPr>
        <w:t>t has been identified that there is an estimated reserves requirement of £</w:t>
      </w:r>
      <w:r w:rsidR="00757FB9" w:rsidRPr="00472F78">
        <w:rPr>
          <w:rFonts w:cs="Arial"/>
        </w:rPr>
        <w:t>1</w:t>
      </w:r>
      <w:r w:rsidR="00414DBE" w:rsidRPr="00472F78">
        <w:rPr>
          <w:rFonts w:cs="Arial"/>
        </w:rPr>
        <w:t>45</w:t>
      </w:r>
      <w:r w:rsidRPr="00472F78">
        <w:rPr>
          <w:rFonts w:cs="Arial"/>
        </w:rPr>
        <w:t xml:space="preserve">m to support the revenue budgets in 2016/17 and 2017/18. </w:t>
      </w:r>
      <w:r w:rsidR="008F0D20" w:rsidRPr="00472F78">
        <w:rPr>
          <w:rFonts w:cs="Arial"/>
        </w:rPr>
        <w:t>Consequently,</w:t>
      </w:r>
      <w:r w:rsidR="00C143F0" w:rsidRPr="00472F78">
        <w:rPr>
          <w:rFonts w:cs="Arial"/>
        </w:rPr>
        <w:t xml:space="preserve"> </w:t>
      </w:r>
      <w:r w:rsidR="008F0D20" w:rsidRPr="00472F78">
        <w:rPr>
          <w:rFonts w:cs="Arial"/>
        </w:rPr>
        <w:t>b</w:t>
      </w:r>
      <w:r w:rsidRPr="00472F78">
        <w:rPr>
          <w:rFonts w:cs="Arial"/>
        </w:rPr>
        <w:t>y 31st March 2018 it is expected that there will only be the £36m County Fund and a residual £20.613m of service reserves. All other reserves will have been spent.</w:t>
      </w:r>
    </w:p>
    <w:p w:rsidR="007426D8" w:rsidRPr="00472F78" w:rsidRDefault="007426D8" w:rsidP="008150B9">
      <w:pPr>
        <w:spacing w:after="0"/>
        <w:rPr>
          <w:rFonts w:cs="Arial"/>
        </w:rPr>
      </w:pPr>
    </w:p>
    <w:p w:rsidR="007426D8" w:rsidRPr="00472F78" w:rsidRDefault="007426D8" w:rsidP="008150B9">
      <w:pPr>
        <w:spacing w:after="0"/>
        <w:rPr>
          <w:rFonts w:cs="Arial"/>
        </w:rPr>
      </w:pPr>
      <w:r w:rsidRPr="00472F78">
        <w:rPr>
          <w:rFonts w:cs="Arial"/>
        </w:rPr>
        <w:t xml:space="preserve">The graph below illustrates the potential use of reserves compared to the funding gap requirement over the period. The element of the funding gap that can be funded from reserves is highlighted. This indicates that reserves will not be available to fund the gap beyond 2017/18, by which point </w:t>
      </w:r>
      <w:r w:rsidR="00396E00" w:rsidRPr="00472F78">
        <w:rPr>
          <w:rFonts w:cs="Arial"/>
        </w:rPr>
        <w:t xml:space="preserve">it is estimated that </w:t>
      </w:r>
      <w:r w:rsidRPr="00472F78">
        <w:rPr>
          <w:rFonts w:cs="Arial"/>
        </w:rPr>
        <w:t xml:space="preserve">all available </w:t>
      </w:r>
      <w:r w:rsidR="00396E00" w:rsidRPr="00472F78">
        <w:rPr>
          <w:rFonts w:cs="Arial"/>
        </w:rPr>
        <w:t xml:space="preserve">reserves </w:t>
      </w:r>
      <w:r w:rsidRPr="00472F78">
        <w:rPr>
          <w:rFonts w:cs="Arial"/>
        </w:rPr>
        <w:t xml:space="preserve">will have been used. </w:t>
      </w:r>
      <w:r w:rsidR="002A3A86" w:rsidRPr="00472F78">
        <w:rPr>
          <w:rFonts w:cs="Arial"/>
        </w:rPr>
        <w:t>The graph has four components:</w:t>
      </w:r>
    </w:p>
    <w:p w:rsidR="000A747F" w:rsidRPr="00472F78" w:rsidRDefault="000A747F" w:rsidP="008150B9">
      <w:pPr>
        <w:spacing w:after="0"/>
        <w:rPr>
          <w:rFonts w:cs="Arial"/>
        </w:rPr>
      </w:pPr>
    </w:p>
    <w:p w:rsidR="002A3A86" w:rsidRPr="00472F78" w:rsidRDefault="002A3A86" w:rsidP="000A747F">
      <w:pPr>
        <w:pStyle w:val="ListParagraph"/>
        <w:numPr>
          <w:ilvl w:val="0"/>
          <w:numId w:val="43"/>
        </w:numPr>
        <w:spacing w:after="0"/>
        <w:ind w:left="360"/>
        <w:rPr>
          <w:rFonts w:cs="Arial"/>
        </w:rPr>
      </w:pPr>
      <w:r w:rsidRPr="00472F78">
        <w:rPr>
          <w:rFonts w:cs="Arial"/>
        </w:rPr>
        <w:t xml:space="preserve">The red line shows the current estimated total expenditure that the </w:t>
      </w:r>
      <w:r w:rsidR="000A4469" w:rsidRPr="00472F78">
        <w:rPr>
          <w:rFonts w:cs="Arial"/>
        </w:rPr>
        <w:t>County Council</w:t>
      </w:r>
      <w:r w:rsidRPr="00472F78">
        <w:rPr>
          <w:rFonts w:cs="Arial"/>
        </w:rPr>
        <w:t xml:space="preserve"> would incur if no savings were made.</w:t>
      </w:r>
    </w:p>
    <w:p w:rsidR="002A3A86" w:rsidRPr="00472F78" w:rsidRDefault="002A3A86" w:rsidP="000A747F">
      <w:pPr>
        <w:pStyle w:val="ListParagraph"/>
        <w:numPr>
          <w:ilvl w:val="0"/>
          <w:numId w:val="43"/>
        </w:numPr>
        <w:spacing w:after="0"/>
        <w:ind w:left="360"/>
        <w:rPr>
          <w:rFonts w:cs="Arial"/>
        </w:rPr>
      </w:pPr>
      <w:r w:rsidRPr="00472F78">
        <w:rPr>
          <w:rFonts w:cs="Arial"/>
        </w:rPr>
        <w:t xml:space="preserve">The dotted green line shows the anticipated level of expenditure the </w:t>
      </w:r>
      <w:r w:rsidR="000A4469" w:rsidRPr="00472F78">
        <w:rPr>
          <w:rFonts w:cs="Arial"/>
        </w:rPr>
        <w:t>County Council</w:t>
      </w:r>
      <w:r w:rsidRPr="00472F78">
        <w:rPr>
          <w:rFonts w:cs="Arial"/>
        </w:rPr>
        <w:t xml:space="preserve"> would make if the current savings targets were achieved.</w:t>
      </w:r>
      <w:r w:rsidR="00447C65" w:rsidRPr="00472F78">
        <w:rPr>
          <w:rFonts w:cs="Arial"/>
        </w:rPr>
        <w:t xml:space="preserve"> Our current savings plans do not fully address the decreasing resources. </w:t>
      </w:r>
      <w:r w:rsidRPr="00472F78">
        <w:rPr>
          <w:rFonts w:cs="Arial"/>
        </w:rPr>
        <w:t xml:space="preserve">The graph shows the cumulative gap that will accrue year-on-year </w:t>
      </w:r>
      <w:r w:rsidR="00447C65" w:rsidRPr="00472F78">
        <w:rPr>
          <w:rFonts w:cs="Arial"/>
        </w:rPr>
        <w:t>if further savings are not made</w:t>
      </w:r>
      <w:r w:rsidRPr="00472F78">
        <w:rPr>
          <w:rFonts w:cs="Arial"/>
        </w:rPr>
        <w:t xml:space="preserve"> resulting in a </w:t>
      </w:r>
      <w:r w:rsidR="00447C65" w:rsidRPr="00472F78">
        <w:rPr>
          <w:rFonts w:cs="Arial"/>
        </w:rPr>
        <w:t>£200.5m</w:t>
      </w:r>
      <w:r w:rsidRPr="00472F78">
        <w:rPr>
          <w:rFonts w:cs="Arial"/>
        </w:rPr>
        <w:t xml:space="preserve"> funding gap by 2020/21.</w:t>
      </w:r>
    </w:p>
    <w:p w:rsidR="002A3A86" w:rsidRPr="00472F78" w:rsidRDefault="002A3A86" w:rsidP="000A747F">
      <w:pPr>
        <w:pStyle w:val="ListParagraph"/>
        <w:numPr>
          <w:ilvl w:val="0"/>
          <w:numId w:val="43"/>
        </w:numPr>
        <w:spacing w:after="0"/>
        <w:ind w:left="360"/>
        <w:rPr>
          <w:rFonts w:cs="Arial"/>
        </w:rPr>
      </w:pPr>
      <w:r w:rsidRPr="00472F78">
        <w:rPr>
          <w:rFonts w:cs="Arial"/>
        </w:rPr>
        <w:t xml:space="preserve">The blue line shows the current estimate of resources available to the </w:t>
      </w:r>
      <w:r w:rsidR="000A4469" w:rsidRPr="00472F78">
        <w:rPr>
          <w:rFonts w:cs="Arial"/>
        </w:rPr>
        <w:t>County Council</w:t>
      </w:r>
      <w:r w:rsidRPr="00472F78">
        <w:rPr>
          <w:rFonts w:cs="Arial"/>
        </w:rPr>
        <w:t xml:space="preserve"> which decrease</w:t>
      </w:r>
      <w:r w:rsidR="000061C5" w:rsidRPr="00472F78">
        <w:rPr>
          <w:rFonts w:cs="Arial"/>
        </w:rPr>
        <w:t>s</w:t>
      </w:r>
      <w:r w:rsidRPr="00472F78">
        <w:rPr>
          <w:rFonts w:cs="Arial"/>
        </w:rPr>
        <w:t xml:space="preserve"> over time.</w:t>
      </w:r>
    </w:p>
    <w:p w:rsidR="0036395D" w:rsidRPr="00472F78" w:rsidRDefault="002A3A86" w:rsidP="000A747F">
      <w:pPr>
        <w:pStyle w:val="ListParagraph"/>
        <w:numPr>
          <w:ilvl w:val="0"/>
          <w:numId w:val="43"/>
        </w:numPr>
        <w:spacing w:after="0"/>
        <w:ind w:left="360"/>
        <w:rPr>
          <w:rFonts w:cs="Arial"/>
        </w:rPr>
      </w:pPr>
      <w:r w:rsidRPr="00472F78">
        <w:rPr>
          <w:rFonts w:cs="Arial"/>
        </w:rPr>
        <w:t>The shaded area represents the proposed use of the</w:t>
      </w:r>
      <w:r w:rsidR="00E4700D" w:rsidRPr="00472F78">
        <w:rPr>
          <w:rFonts w:cs="Arial"/>
        </w:rPr>
        <w:t xml:space="preserve"> £117m</w:t>
      </w:r>
      <w:r w:rsidRPr="00472F78">
        <w:rPr>
          <w:rFonts w:cs="Arial"/>
        </w:rPr>
        <w:t xml:space="preserve"> Transitional Reserve.</w:t>
      </w:r>
      <w:r w:rsidR="00BA479D" w:rsidRPr="00472F78">
        <w:rPr>
          <w:rFonts w:cs="Arial"/>
        </w:rPr>
        <w:t xml:space="preserve"> Some of th</w:t>
      </w:r>
      <w:r w:rsidR="00201BAD" w:rsidRPr="00472F78">
        <w:rPr>
          <w:rFonts w:cs="Arial"/>
        </w:rPr>
        <w:t>is</w:t>
      </w:r>
      <w:r w:rsidR="00BA479D" w:rsidRPr="00472F78">
        <w:rPr>
          <w:rFonts w:cs="Arial"/>
        </w:rPr>
        <w:t xml:space="preserve"> reserve ha</w:t>
      </w:r>
      <w:r w:rsidR="00201BAD" w:rsidRPr="00472F78">
        <w:rPr>
          <w:rFonts w:cs="Arial"/>
        </w:rPr>
        <w:t>s</w:t>
      </w:r>
      <w:r w:rsidR="00BA479D" w:rsidRPr="00472F78">
        <w:rPr>
          <w:rFonts w:cs="Arial"/>
        </w:rPr>
        <w:t xml:space="preserve"> already been committed to fund the cost of savings taken out of the budget but which </w:t>
      </w:r>
      <w:r w:rsidR="002C482F" w:rsidRPr="00472F78">
        <w:rPr>
          <w:rFonts w:cs="Arial"/>
        </w:rPr>
        <w:t>will not be made immediately</w:t>
      </w:r>
      <w:r w:rsidR="009D2B1C" w:rsidRPr="00472F78">
        <w:rPr>
          <w:rFonts w:cs="Arial"/>
        </w:rPr>
        <w:t xml:space="preserve"> </w:t>
      </w:r>
      <w:r w:rsidR="00935FA0" w:rsidRPr="00472F78">
        <w:rPr>
          <w:rFonts w:cs="Arial"/>
        </w:rPr>
        <w:t>(</w:t>
      </w:r>
      <w:r w:rsidR="00BA479D" w:rsidRPr="00472F78">
        <w:rPr>
          <w:rFonts w:cs="Arial"/>
        </w:rPr>
        <w:t>as agreed by Cabinet in November</w:t>
      </w:r>
      <w:r w:rsidR="00935FA0" w:rsidRPr="00472F78">
        <w:rPr>
          <w:rFonts w:cs="Arial"/>
        </w:rPr>
        <w:t>)</w:t>
      </w:r>
      <w:r w:rsidR="00BA479D" w:rsidRPr="00472F78">
        <w:rPr>
          <w:rFonts w:cs="Arial"/>
        </w:rPr>
        <w:t>.</w:t>
      </w:r>
      <w:r w:rsidR="00E4700D" w:rsidRPr="00472F78">
        <w:rPr>
          <w:rFonts w:cs="Arial"/>
        </w:rPr>
        <w:t xml:space="preserve"> </w:t>
      </w:r>
      <w:r w:rsidR="0036395D" w:rsidRPr="00472F78">
        <w:rPr>
          <w:rFonts w:cs="Arial"/>
        </w:rPr>
        <w:t xml:space="preserve">It is important to note that there are insufficient reserves to finance </w:t>
      </w:r>
      <w:r w:rsidR="00894832" w:rsidRPr="00472F78">
        <w:rPr>
          <w:rFonts w:cs="Arial"/>
        </w:rPr>
        <w:t xml:space="preserve">both </w:t>
      </w:r>
      <w:r w:rsidR="0036395D" w:rsidRPr="00472F78">
        <w:rPr>
          <w:rFonts w:cs="Arial"/>
        </w:rPr>
        <w:t>the</w:t>
      </w:r>
      <w:r w:rsidR="00BA479D" w:rsidRPr="00472F78">
        <w:rPr>
          <w:rFonts w:cs="Arial"/>
        </w:rPr>
        <w:t>se commitments and the</w:t>
      </w:r>
      <w:r w:rsidR="0036395D" w:rsidRPr="00472F78">
        <w:rPr>
          <w:rFonts w:cs="Arial"/>
        </w:rPr>
        <w:t xml:space="preserve"> funding gap in 2017/18.</w:t>
      </w:r>
    </w:p>
    <w:p w:rsidR="0036395D" w:rsidRDefault="0036395D" w:rsidP="008150B9">
      <w:pPr>
        <w:autoSpaceDE/>
        <w:autoSpaceDN/>
        <w:adjustRightInd/>
        <w:spacing w:after="0"/>
        <w:jc w:val="left"/>
        <w:rPr>
          <w:rFonts w:cs="Arial"/>
        </w:rPr>
      </w:pPr>
      <w:r>
        <w:rPr>
          <w:rFonts w:cs="Arial"/>
        </w:rPr>
        <w:br w:type="page"/>
      </w:r>
    </w:p>
    <w:p w:rsidR="006225AE" w:rsidRPr="0036395D" w:rsidRDefault="0036395D" w:rsidP="0036395D">
      <w:pPr>
        <w:spacing w:after="0"/>
        <w:rPr>
          <w:rFonts w:cs="Arial"/>
        </w:rPr>
      </w:pPr>
      <w:r w:rsidRPr="0036395D">
        <w:rPr>
          <w:noProof/>
          <w:lang w:eastAsia="en-GB"/>
        </w:rPr>
        <w:lastRenderedPageBreak/>
        <w:drawing>
          <wp:inline distT="0" distB="0" distL="0" distR="0">
            <wp:extent cx="5731510" cy="535771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357716"/>
                    </a:xfrm>
                    <a:prstGeom prst="rect">
                      <a:avLst/>
                    </a:prstGeom>
                    <a:noFill/>
                    <a:ln>
                      <a:noFill/>
                    </a:ln>
                  </pic:spPr>
                </pic:pic>
              </a:graphicData>
            </a:graphic>
          </wp:inline>
        </w:drawing>
      </w:r>
    </w:p>
    <w:p w:rsidR="0070208A" w:rsidRDefault="0070208A" w:rsidP="008D5D96">
      <w:pPr>
        <w:spacing w:after="0"/>
        <w:rPr>
          <w:rFonts w:cs="Arial"/>
        </w:rPr>
      </w:pPr>
    </w:p>
    <w:p w:rsidR="006225AE" w:rsidRPr="008D5D96" w:rsidRDefault="006225AE" w:rsidP="008D5D96">
      <w:pPr>
        <w:spacing w:after="0"/>
        <w:rPr>
          <w:rFonts w:cs="Arial"/>
        </w:rPr>
      </w:pPr>
    </w:p>
    <w:p w:rsidR="00735E90" w:rsidRPr="00472F78" w:rsidRDefault="00735E90" w:rsidP="00735E90">
      <w:pPr>
        <w:tabs>
          <w:tab w:val="left" w:pos="567"/>
          <w:tab w:val="left" w:pos="1134"/>
        </w:tabs>
        <w:spacing w:after="0"/>
        <w:ind w:left="360" w:hanging="360"/>
        <w:rPr>
          <w:rFonts w:cs="Arial"/>
          <w:b/>
        </w:rPr>
      </w:pPr>
      <w:r w:rsidRPr="00472F78">
        <w:rPr>
          <w:rFonts w:cs="Arial"/>
          <w:b/>
        </w:rPr>
        <w:t xml:space="preserve">2. Resources  </w:t>
      </w:r>
    </w:p>
    <w:p w:rsidR="00735E90" w:rsidRPr="00472F78" w:rsidRDefault="00735E90" w:rsidP="00735E90">
      <w:pPr>
        <w:tabs>
          <w:tab w:val="left" w:pos="567"/>
          <w:tab w:val="left" w:pos="1134"/>
        </w:tabs>
        <w:spacing w:after="0"/>
        <w:rPr>
          <w:rFonts w:cs="Arial"/>
          <w:b/>
        </w:rPr>
      </w:pPr>
    </w:p>
    <w:p w:rsidR="00735E90" w:rsidRPr="00472F78" w:rsidRDefault="00735E90" w:rsidP="00735E90">
      <w:pPr>
        <w:tabs>
          <w:tab w:val="left" w:pos="567"/>
          <w:tab w:val="left" w:pos="1134"/>
        </w:tabs>
        <w:spacing w:after="0"/>
        <w:rPr>
          <w:rFonts w:cs="Arial"/>
        </w:rPr>
      </w:pPr>
      <w:r w:rsidRPr="00472F78">
        <w:rPr>
          <w:rFonts w:cs="Arial"/>
        </w:rPr>
        <w:t xml:space="preserve">The County Council's previously reported MTFS assumes a 7% reduction in government funding in both 2016/17 and 2017/18 and reductions of 6% in 2018/19 and 2% in 2019/20. These were based on information on Government Departmental </w:t>
      </w:r>
      <w:proofErr w:type="gramStart"/>
      <w:r w:rsidRPr="00472F78">
        <w:rPr>
          <w:rFonts w:cs="Arial"/>
        </w:rPr>
        <w:t>Limits .</w:t>
      </w:r>
      <w:proofErr w:type="gramEnd"/>
      <w:r w:rsidRPr="00472F78">
        <w:rPr>
          <w:rFonts w:cs="Arial"/>
        </w:rPr>
        <w:t xml:space="preserve"> </w:t>
      </w:r>
    </w:p>
    <w:p w:rsidR="00735E90" w:rsidRPr="00472F78" w:rsidRDefault="00735E90" w:rsidP="00735E90">
      <w:pPr>
        <w:autoSpaceDE/>
        <w:autoSpaceDN/>
        <w:adjustRightInd/>
        <w:spacing w:after="0"/>
        <w:jc w:val="left"/>
        <w:rPr>
          <w:rFonts w:cs="Arial"/>
        </w:rPr>
      </w:pPr>
    </w:p>
    <w:p w:rsidR="00735E90" w:rsidRPr="00472F78" w:rsidRDefault="00735E90" w:rsidP="00735E90">
      <w:pPr>
        <w:tabs>
          <w:tab w:val="left" w:pos="567"/>
          <w:tab w:val="left" w:pos="1134"/>
        </w:tabs>
        <w:spacing w:after="0"/>
        <w:rPr>
          <w:rFonts w:cs="Arial"/>
        </w:rPr>
      </w:pPr>
      <w:r w:rsidRPr="00472F78">
        <w:rPr>
          <w:rFonts w:cs="Arial"/>
        </w:rPr>
        <w:t>These assumptions provide</w:t>
      </w:r>
      <w:r w:rsidR="00E37841" w:rsidRPr="00472F78">
        <w:rPr>
          <w:rFonts w:cs="Arial"/>
        </w:rPr>
        <w:t>d</w:t>
      </w:r>
      <w:r w:rsidRPr="00472F78">
        <w:rPr>
          <w:rFonts w:cs="Arial"/>
        </w:rPr>
        <w:t xml:space="preserve"> the following forecast</w:t>
      </w:r>
      <w:r w:rsidR="00935FA0" w:rsidRPr="00472F78">
        <w:rPr>
          <w:rFonts w:cs="Arial"/>
        </w:rPr>
        <w:t xml:space="preserve"> of resources available to the C</w:t>
      </w:r>
      <w:r w:rsidRPr="00472F78">
        <w:rPr>
          <w:rFonts w:cs="Arial"/>
        </w:rPr>
        <w:t xml:space="preserve">ouncil </w:t>
      </w:r>
      <w:r w:rsidR="00E37841" w:rsidRPr="00472F78">
        <w:rPr>
          <w:rFonts w:cs="Arial"/>
        </w:rPr>
        <w:t xml:space="preserve">which were included in both the </w:t>
      </w:r>
      <w:r w:rsidR="00C143F0" w:rsidRPr="00472F78">
        <w:rPr>
          <w:rFonts w:cs="Arial"/>
        </w:rPr>
        <w:t>A</w:t>
      </w:r>
      <w:r w:rsidR="00E37841" w:rsidRPr="00472F78">
        <w:rPr>
          <w:rFonts w:cs="Arial"/>
        </w:rPr>
        <w:t>ugust and November MTFS reports.</w:t>
      </w:r>
    </w:p>
    <w:p w:rsidR="00735E90" w:rsidRPr="0043096A" w:rsidRDefault="00735E90" w:rsidP="00735E90">
      <w:pPr>
        <w:tabs>
          <w:tab w:val="left" w:pos="567"/>
          <w:tab w:val="left" w:pos="1134"/>
        </w:tabs>
        <w:spacing w:after="0"/>
        <w:rPr>
          <w:rFonts w:cs="Arial"/>
        </w:rPr>
      </w:pPr>
    </w:p>
    <w:tbl>
      <w:tblPr>
        <w:tblStyle w:val="TableGrid"/>
        <w:tblW w:w="9073" w:type="dxa"/>
        <w:tblLook w:val="04A0" w:firstRow="1" w:lastRow="0" w:firstColumn="1" w:lastColumn="0" w:noHBand="0" w:noVBand="1"/>
      </w:tblPr>
      <w:tblGrid>
        <w:gridCol w:w="1781"/>
        <w:gridCol w:w="1488"/>
        <w:gridCol w:w="1501"/>
        <w:gridCol w:w="1459"/>
        <w:gridCol w:w="1422"/>
        <w:gridCol w:w="1422"/>
      </w:tblGrid>
      <w:tr w:rsidR="00735E90" w:rsidRPr="006225AE" w:rsidTr="000C0795">
        <w:trPr>
          <w:trHeight w:val="275"/>
        </w:trPr>
        <w:tc>
          <w:tcPr>
            <w:tcW w:w="1781" w:type="dxa"/>
            <w:vMerge w:val="restart"/>
            <w:shd w:val="clear" w:color="auto" w:fill="BFBFBF" w:themeFill="background1" w:themeFillShade="BF"/>
            <w:vAlign w:val="center"/>
          </w:tcPr>
          <w:p w:rsidR="00735E90" w:rsidRPr="006225AE" w:rsidRDefault="00735E90" w:rsidP="006C2D30">
            <w:pPr>
              <w:tabs>
                <w:tab w:val="left" w:pos="567"/>
                <w:tab w:val="left" w:pos="1134"/>
              </w:tabs>
              <w:spacing w:after="0"/>
              <w:jc w:val="left"/>
              <w:rPr>
                <w:rFonts w:cs="Arial"/>
                <w:b/>
                <w:sz w:val="22"/>
                <w:szCs w:val="22"/>
              </w:rPr>
            </w:pPr>
          </w:p>
        </w:tc>
        <w:tc>
          <w:tcPr>
            <w:tcW w:w="1488" w:type="dxa"/>
            <w:tcBorders>
              <w:bottom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2016/17</w:t>
            </w:r>
          </w:p>
        </w:tc>
        <w:tc>
          <w:tcPr>
            <w:tcW w:w="1501" w:type="dxa"/>
            <w:tcBorders>
              <w:bottom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2017/18</w:t>
            </w:r>
          </w:p>
        </w:tc>
        <w:tc>
          <w:tcPr>
            <w:tcW w:w="1459" w:type="dxa"/>
            <w:tcBorders>
              <w:bottom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2018/19</w:t>
            </w:r>
          </w:p>
        </w:tc>
        <w:tc>
          <w:tcPr>
            <w:tcW w:w="1422" w:type="dxa"/>
            <w:tcBorders>
              <w:bottom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2019/20</w:t>
            </w:r>
          </w:p>
        </w:tc>
        <w:tc>
          <w:tcPr>
            <w:tcW w:w="1422" w:type="dxa"/>
            <w:tcBorders>
              <w:bottom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2020/21</w:t>
            </w:r>
          </w:p>
        </w:tc>
      </w:tr>
      <w:tr w:rsidR="00735E90" w:rsidRPr="006225AE" w:rsidTr="000C0795">
        <w:trPr>
          <w:trHeight w:val="215"/>
        </w:trPr>
        <w:tc>
          <w:tcPr>
            <w:tcW w:w="1781" w:type="dxa"/>
            <w:vMerge/>
          </w:tcPr>
          <w:p w:rsidR="00735E90" w:rsidRPr="006225AE" w:rsidRDefault="00735E90" w:rsidP="006C2D30">
            <w:pPr>
              <w:tabs>
                <w:tab w:val="left" w:pos="567"/>
                <w:tab w:val="left" w:pos="1134"/>
              </w:tabs>
              <w:spacing w:after="0"/>
              <w:jc w:val="left"/>
              <w:rPr>
                <w:rFonts w:cs="Arial"/>
                <w:b/>
                <w:sz w:val="22"/>
                <w:szCs w:val="22"/>
              </w:rPr>
            </w:pPr>
          </w:p>
        </w:tc>
        <w:tc>
          <w:tcPr>
            <w:tcW w:w="1488" w:type="dxa"/>
            <w:tcBorders>
              <w:top w:val="nil"/>
            </w:tcBorders>
            <w:shd w:val="clear" w:color="auto" w:fill="BFBFBF" w:themeFill="background1" w:themeFillShade="BF"/>
            <w:vAlign w:val="center"/>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£m</w:t>
            </w:r>
          </w:p>
        </w:tc>
        <w:tc>
          <w:tcPr>
            <w:tcW w:w="1501" w:type="dxa"/>
            <w:tcBorders>
              <w:top w:val="nil"/>
            </w:tcBorders>
            <w:shd w:val="clear" w:color="auto" w:fill="BFBFBF" w:themeFill="background1" w:themeFillShade="BF"/>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£m</w:t>
            </w:r>
          </w:p>
        </w:tc>
        <w:tc>
          <w:tcPr>
            <w:tcW w:w="1459" w:type="dxa"/>
            <w:tcBorders>
              <w:top w:val="nil"/>
            </w:tcBorders>
            <w:shd w:val="clear" w:color="auto" w:fill="BFBFBF" w:themeFill="background1" w:themeFillShade="BF"/>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£m</w:t>
            </w:r>
          </w:p>
        </w:tc>
        <w:tc>
          <w:tcPr>
            <w:tcW w:w="1422" w:type="dxa"/>
            <w:tcBorders>
              <w:top w:val="nil"/>
            </w:tcBorders>
            <w:shd w:val="clear" w:color="auto" w:fill="BFBFBF" w:themeFill="background1" w:themeFillShade="BF"/>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£m</w:t>
            </w:r>
          </w:p>
        </w:tc>
        <w:tc>
          <w:tcPr>
            <w:tcW w:w="1422" w:type="dxa"/>
            <w:tcBorders>
              <w:top w:val="nil"/>
            </w:tcBorders>
            <w:shd w:val="clear" w:color="auto" w:fill="BFBFBF" w:themeFill="background1" w:themeFillShade="BF"/>
          </w:tcPr>
          <w:p w:rsidR="00735E90" w:rsidRPr="006225AE" w:rsidRDefault="00735E90" w:rsidP="006C2D30">
            <w:pPr>
              <w:tabs>
                <w:tab w:val="left" w:pos="567"/>
                <w:tab w:val="left" w:pos="1134"/>
              </w:tabs>
              <w:spacing w:after="0"/>
              <w:jc w:val="center"/>
              <w:rPr>
                <w:rFonts w:cs="Arial"/>
                <w:b/>
                <w:sz w:val="22"/>
                <w:szCs w:val="22"/>
              </w:rPr>
            </w:pPr>
            <w:r w:rsidRPr="006225AE">
              <w:rPr>
                <w:rFonts w:cs="Arial"/>
                <w:b/>
                <w:sz w:val="22"/>
                <w:szCs w:val="22"/>
              </w:rPr>
              <w:t>£m</w:t>
            </w:r>
          </w:p>
        </w:tc>
      </w:tr>
      <w:tr w:rsidR="00735E90" w:rsidRPr="006225AE" w:rsidTr="006C2D30">
        <w:trPr>
          <w:trHeight w:val="637"/>
        </w:trPr>
        <w:tc>
          <w:tcPr>
            <w:tcW w:w="1781" w:type="dxa"/>
            <w:vAlign w:val="center"/>
          </w:tcPr>
          <w:p w:rsidR="00735E90" w:rsidRPr="006225AE" w:rsidRDefault="00735E90" w:rsidP="006C2D30">
            <w:pPr>
              <w:tabs>
                <w:tab w:val="left" w:pos="567"/>
                <w:tab w:val="left" w:pos="1134"/>
              </w:tabs>
              <w:spacing w:after="0"/>
              <w:jc w:val="left"/>
              <w:rPr>
                <w:rFonts w:cs="Arial"/>
                <w:sz w:val="22"/>
                <w:szCs w:val="22"/>
              </w:rPr>
            </w:pPr>
            <w:r w:rsidRPr="006225AE">
              <w:rPr>
                <w:rFonts w:cs="Arial"/>
                <w:sz w:val="22"/>
                <w:szCs w:val="22"/>
              </w:rPr>
              <w:t>Level of resources</w:t>
            </w:r>
          </w:p>
        </w:tc>
        <w:tc>
          <w:tcPr>
            <w:tcW w:w="1488" w:type="dxa"/>
            <w:vAlign w:val="center"/>
          </w:tcPr>
          <w:p w:rsidR="00735E90" w:rsidRPr="006225AE" w:rsidRDefault="00735E90" w:rsidP="006C2D30">
            <w:pPr>
              <w:tabs>
                <w:tab w:val="left" w:pos="567"/>
                <w:tab w:val="left" w:pos="1134"/>
              </w:tabs>
              <w:spacing w:after="0"/>
              <w:jc w:val="center"/>
              <w:rPr>
                <w:rFonts w:cs="Arial"/>
                <w:sz w:val="22"/>
                <w:szCs w:val="22"/>
              </w:rPr>
            </w:pPr>
            <w:r w:rsidRPr="006225AE">
              <w:rPr>
                <w:rFonts w:cs="Arial"/>
                <w:sz w:val="22"/>
                <w:szCs w:val="22"/>
              </w:rPr>
              <w:t>705.034</w:t>
            </w:r>
          </w:p>
        </w:tc>
        <w:tc>
          <w:tcPr>
            <w:tcW w:w="1501" w:type="dxa"/>
            <w:vAlign w:val="center"/>
          </w:tcPr>
          <w:p w:rsidR="00735E90" w:rsidRPr="006225AE" w:rsidRDefault="00735E90" w:rsidP="006C2D30">
            <w:pPr>
              <w:tabs>
                <w:tab w:val="left" w:pos="567"/>
                <w:tab w:val="left" w:pos="1134"/>
              </w:tabs>
              <w:spacing w:after="0"/>
              <w:jc w:val="center"/>
              <w:rPr>
                <w:rFonts w:cs="Arial"/>
                <w:sz w:val="22"/>
                <w:szCs w:val="22"/>
              </w:rPr>
            </w:pPr>
            <w:r w:rsidRPr="006225AE">
              <w:rPr>
                <w:rFonts w:cs="Arial"/>
                <w:sz w:val="22"/>
                <w:szCs w:val="22"/>
              </w:rPr>
              <w:t>684.221</w:t>
            </w:r>
          </w:p>
        </w:tc>
        <w:tc>
          <w:tcPr>
            <w:tcW w:w="1459" w:type="dxa"/>
            <w:vAlign w:val="center"/>
          </w:tcPr>
          <w:p w:rsidR="00735E90" w:rsidRPr="006225AE" w:rsidRDefault="00735E90" w:rsidP="006C2D30">
            <w:pPr>
              <w:tabs>
                <w:tab w:val="left" w:pos="567"/>
                <w:tab w:val="left" w:pos="1134"/>
              </w:tabs>
              <w:spacing w:after="0"/>
              <w:jc w:val="center"/>
              <w:rPr>
                <w:rFonts w:cs="Arial"/>
                <w:sz w:val="22"/>
                <w:szCs w:val="22"/>
              </w:rPr>
            </w:pPr>
            <w:r w:rsidRPr="006225AE">
              <w:rPr>
                <w:rFonts w:cs="Arial"/>
                <w:sz w:val="22"/>
                <w:szCs w:val="22"/>
              </w:rPr>
              <w:t>668.977</w:t>
            </w:r>
          </w:p>
        </w:tc>
        <w:tc>
          <w:tcPr>
            <w:tcW w:w="1422" w:type="dxa"/>
            <w:vAlign w:val="center"/>
          </w:tcPr>
          <w:p w:rsidR="00735E90" w:rsidRPr="006225AE" w:rsidRDefault="00735E90" w:rsidP="006C2D30">
            <w:pPr>
              <w:tabs>
                <w:tab w:val="left" w:pos="567"/>
                <w:tab w:val="left" w:pos="1134"/>
              </w:tabs>
              <w:spacing w:after="0"/>
              <w:jc w:val="center"/>
              <w:rPr>
                <w:rFonts w:cs="Arial"/>
                <w:sz w:val="22"/>
                <w:szCs w:val="22"/>
              </w:rPr>
            </w:pPr>
            <w:r w:rsidRPr="006225AE">
              <w:rPr>
                <w:rFonts w:cs="Arial"/>
                <w:sz w:val="22"/>
                <w:szCs w:val="22"/>
              </w:rPr>
              <w:t>663.781</w:t>
            </w:r>
          </w:p>
        </w:tc>
        <w:tc>
          <w:tcPr>
            <w:tcW w:w="1422" w:type="dxa"/>
            <w:vAlign w:val="center"/>
          </w:tcPr>
          <w:p w:rsidR="00735E90" w:rsidRPr="006225AE" w:rsidRDefault="00735E90" w:rsidP="006C2D30">
            <w:pPr>
              <w:tabs>
                <w:tab w:val="left" w:pos="567"/>
                <w:tab w:val="left" w:pos="1134"/>
              </w:tabs>
              <w:spacing w:after="0"/>
              <w:jc w:val="center"/>
              <w:rPr>
                <w:rFonts w:cs="Arial"/>
                <w:sz w:val="22"/>
                <w:szCs w:val="22"/>
              </w:rPr>
            </w:pPr>
            <w:r w:rsidRPr="006225AE">
              <w:rPr>
                <w:rFonts w:cs="Arial"/>
                <w:sz w:val="22"/>
                <w:szCs w:val="22"/>
              </w:rPr>
              <w:t>663.926</w:t>
            </w:r>
          </w:p>
        </w:tc>
      </w:tr>
    </w:tbl>
    <w:p w:rsidR="00735E90" w:rsidRDefault="00735E90" w:rsidP="00735E90">
      <w:pPr>
        <w:tabs>
          <w:tab w:val="left" w:pos="567"/>
          <w:tab w:val="left" w:pos="1134"/>
        </w:tabs>
        <w:spacing w:after="0"/>
        <w:rPr>
          <w:rFonts w:cs="Arial"/>
          <w:b/>
        </w:rPr>
      </w:pPr>
    </w:p>
    <w:p w:rsidR="00277907" w:rsidRDefault="00277907" w:rsidP="00735E90">
      <w:pPr>
        <w:tabs>
          <w:tab w:val="left" w:pos="567"/>
          <w:tab w:val="left" w:pos="1134"/>
        </w:tabs>
        <w:spacing w:after="0"/>
        <w:rPr>
          <w:rFonts w:cs="Arial"/>
        </w:rPr>
      </w:pPr>
    </w:p>
    <w:p w:rsidR="00277907" w:rsidRDefault="00277907" w:rsidP="00735E90">
      <w:pPr>
        <w:tabs>
          <w:tab w:val="left" w:pos="567"/>
          <w:tab w:val="left" w:pos="1134"/>
        </w:tabs>
        <w:spacing w:after="0"/>
        <w:rPr>
          <w:rFonts w:cs="Arial"/>
        </w:rPr>
      </w:pPr>
    </w:p>
    <w:p w:rsidR="00EC3212" w:rsidRDefault="00EC3212" w:rsidP="00735E90">
      <w:pPr>
        <w:tabs>
          <w:tab w:val="left" w:pos="567"/>
          <w:tab w:val="left" w:pos="1134"/>
        </w:tabs>
        <w:spacing w:after="0"/>
        <w:rPr>
          <w:rFonts w:cs="Arial"/>
        </w:rPr>
      </w:pPr>
      <w:r w:rsidRPr="00EC3212">
        <w:rPr>
          <w:rFonts w:cs="Arial"/>
        </w:rPr>
        <w:lastRenderedPageBreak/>
        <w:t>These resources consist of:</w:t>
      </w:r>
    </w:p>
    <w:p w:rsidR="00EC3212" w:rsidRDefault="00EC3212" w:rsidP="00735E90">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3128"/>
        <w:gridCol w:w="1175"/>
        <w:gridCol w:w="1175"/>
        <w:gridCol w:w="1175"/>
        <w:gridCol w:w="1175"/>
        <w:gridCol w:w="1175"/>
      </w:tblGrid>
      <w:tr w:rsidR="00D41390" w:rsidRPr="00033801" w:rsidTr="00B86F4F">
        <w:trPr>
          <w:trHeight w:val="565"/>
        </w:trPr>
        <w:tc>
          <w:tcPr>
            <w:tcW w:w="3128" w:type="dxa"/>
            <w:shd w:val="clear" w:color="auto" w:fill="BFBFBF" w:themeFill="background1" w:themeFillShade="BF"/>
            <w:noWrap/>
            <w:vAlign w:val="center"/>
            <w:hideMark/>
          </w:tcPr>
          <w:p w:rsidR="00EC3212" w:rsidRPr="00033801" w:rsidRDefault="00EC3212" w:rsidP="00EC3212">
            <w:pPr>
              <w:tabs>
                <w:tab w:val="left" w:pos="567"/>
                <w:tab w:val="left" w:pos="1134"/>
              </w:tabs>
              <w:spacing w:after="0"/>
              <w:rPr>
                <w:rFonts w:cs="Arial"/>
                <w:sz w:val="22"/>
                <w:szCs w:val="22"/>
              </w:rPr>
            </w:pPr>
          </w:p>
        </w:tc>
        <w:tc>
          <w:tcPr>
            <w:tcW w:w="1175" w:type="dxa"/>
            <w:shd w:val="clear" w:color="auto" w:fill="BFBFBF" w:themeFill="background1" w:themeFillShade="BF"/>
            <w:noWrap/>
            <w:vAlign w:val="center"/>
            <w:hideMark/>
          </w:tcPr>
          <w:p w:rsidR="00EC3212" w:rsidRPr="00033801" w:rsidRDefault="00EC3212" w:rsidP="00D41390">
            <w:pPr>
              <w:tabs>
                <w:tab w:val="left" w:pos="567"/>
                <w:tab w:val="left" w:pos="1134"/>
              </w:tabs>
              <w:spacing w:after="0"/>
              <w:jc w:val="center"/>
              <w:rPr>
                <w:rFonts w:cs="Arial"/>
                <w:b/>
                <w:sz w:val="22"/>
                <w:szCs w:val="22"/>
              </w:rPr>
            </w:pPr>
            <w:r w:rsidRPr="00033801">
              <w:rPr>
                <w:rFonts w:cs="Arial"/>
                <w:b/>
                <w:sz w:val="22"/>
                <w:szCs w:val="22"/>
              </w:rPr>
              <w:t>2016/17</w:t>
            </w:r>
          </w:p>
          <w:p w:rsidR="00277907" w:rsidRPr="00033801" w:rsidRDefault="00277907" w:rsidP="00D41390">
            <w:pPr>
              <w:tabs>
                <w:tab w:val="left" w:pos="567"/>
                <w:tab w:val="left" w:pos="1134"/>
              </w:tabs>
              <w:spacing w:after="0"/>
              <w:jc w:val="center"/>
              <w:rPr>
                <w:rFonts w:cs="Arial"/>
                <w:b/>
                <w:sz w:val="22"/>
                <w:szCs w:val="22"/>
              </w:rPr>
            </w:pPr>
            <w:r w:rsidRPr="00033801">
              <w:rPr>
                <w:rFonts w:cs="Arial"/>
                <w:b/>
                <w:sz w:val="22"/>
                <w:szCs w:val="22"/>
              </w:rPr>
              <w:t>£m</w:t>
            </w:r>
          </w:p>
        </w:tc>
        <w:tc>
          <w:tcPr>
            <w:tcW w:w="1175" w:type="dxa"/>
            <w:shd w:val="clear" w:color="auto" w:fill="BFBFBF" w:themeFill="background1" w:themeFillShade="BF"/>
            <w:noWrap/>
            <w:vAlign w:val="center"/>
            <w:hideMark/>
          </w:tcPr>
          <w:p w:rsidR="00EC3212" w:rsidRPr="00033801" w:rsidRDefault="00EC3212" w:rsidP="00D41390">
            <w:pPr>
              <w:tabs>
                <w:tab w:val="left" w:pos="567"/>
                <w:tab w:val="left" w:pos="1134"/>
              </w:tabs>
              <w:spacing w:after="0"/>
              <w:jc w:val="center"/>
              <w:rPr>
                <w:rFonts w:cs="Arial"/>
                <w:b/>
                <w:sz w:val="22"/>
                <w:szCs w:val="22"/>
              </w:rPr>
            </w:pPr>
            <w:r w:rsidRPr="00033801">
              <w:rPr>
                <w:rFonts w:cs="Arial"/>
                <w:b/>
                <w:sz w:val="22"/>
                <w:szCs w:val="22"/>
              </w:rPr>
              <w:t>2017/18</w:t>
            </w:r>
          </w:p>
          <w:p w:rsidR="00277907" w:rsidRPr="00033801" w:rsidRDefault="00277907" w:rsidP="00D41390">
            <w:pPr>
              <w:tabs>
                <w:tab w:val="left" w:pos="567"/>
                <w:tab w:val="left" w:pos="1134"/>
              </w:tabs>
              <w:spacing w:after="0"/>
              <w:jc w:val="center"/>
              <w:rPr>
                <w:rFonts w:cs="Arial"/>
                <w:b/>
                <w:sz w:val="22"/>
                <w:szCs w:val="22"/>
              </w:rPr>
            </w:pPr>
            <w:r w:rsidRPr="00033801">
              <w:rPr>
                <w:rFonts w:cs="Arial"/>
                <w:b/>
                <w:sz w:val="22"/>
                <w:szCs w:val="22"/>
              </w:rPr>
              <w:t>£m</w:t>
            </w:r>
          </w:p>
        </w:tc>
        <w:tc>
          <w:tcPr>
            <w:tcW w:w="1175" w:type="dxa"/>
            <w:shd w:val="clear" w:color="auto" w:fill="BFBFBF" w:themeFill="background1" w:themeFillShade="BF"/>
            <w:noWrap/>
            <w:vAlign w:val="center"/>
            <w:hideMark/>
          </w:tcPr>
          <w:p w:rsidR="00EC3212" w:rsidRPr="00033801" w:rsidRDefault="00EC3212" w:rsidP="00D41390">
            <w:pPr>
              <w:tabs>
                <w:tab w:val="left" w:pos="567"/>
                <w:tab w:val="left" w:pos="1134"/>
              </w:tabs>
              <w:spacing w:after="0"/>
              <w:jc w:val="center"/>
              <w:rPr>
                <w:rFonts w:cs="Arial"/>
                <w:b/>
                <w:sz w:val="22"/>
                <w:szCs w:val="22"/>
              </w:rPr>
            </w:pPr>
            <w:r w:rsidRPr="00033801">
              <w:rPr>
                <w:rFonts w:cs="Arial"/>
                <w:b/>
                <w:sz w:val="22"/>
                <w:szCs w:val="22"/>
              </w:rPr>
              <w:t>2018/19</w:t>
            </w:r>
          </w:p>
          <w:p w:rsidR="00277907" w:rsidRPr="00033801" w:rsidRDefault="00277907" w:rsidP="00D41390">
            <w:pPr>
              <w:tabs>
                <w:tab w:val="left" w:pos="567"/>
                <w:tab w:val="left" w:pos="1134"/>
              </w:tabs>
              <w:spacing w:after="0"/>
              <w:jc w:val="center"/>
              <w:rPr>
                <w:rFonts w:cs="Arial"/>
                <w:b/>
                <w:sz w:val="22"/>
                <w:szCs w:val="22"/>
              </w:rPr>
            </w:pPr>
            <w:r w:rsidRPr="00033801">
              <w:rPr>
                <w:rFonts w:cs="Arial"/>
                <w:b/>
                <w:sz w:val="22"/>
                <w:szCs w:val="22"/>
              </w:rPr>
              <w:t>£m</w:t>
            </w:r>
          </w:p>
        </w:tc>
        <w:tc>
          <w:tcPr>
            <w:tcW w:w="1175" w:type="dxa"/>
            <w:shd w:val="clear" w:color="auto" w:fill="BFBFBF" w:themeFill="background1" w:themeFillShade="BF"/>
            <w:noWrap/>
            <w:vAlign w:val="center"/>
            <w:hideMark/>
          </w:tcPr>
          <w:p w:rsidR="00EC3212" w:rsidRPr="00033801" w:rsidRDefault="00EC3212" w:rsidP="00D41390">
            <w:pPr>
              <w:tabs>
                <w:tab w:val="left" w:pos="567"/>
                <w:tab w:val="left" w:pos="1134"/>
              </w:tabs>
              <w:spacing w:after="0"/>
              <w:jc w:val="center"/>
              <w:rPr>
                <w:rFonts w:cs="Arial"/>
                <w:b/>
                <w:sz w:val="22"/>
                <w:szCs w:val="22"/>
              </w:rPr>
            </w:pPr>
            <w:r w:rsidRPr="00033801">
              <w:rPr>
                <w:rFonts w:cs="Arial"/>
                <w:b/>
                <w:sz w:val="22"/>
                <w:szCs w:val="22"/>
              </w:rPr>
              <w:t>2019/20</w:t>
            </w:r>
          </w:p>
          <w:p w:rsidR="00277907" w:rsidRPr="00033801" w:rsidRDefault="00277907" w:rsidP="00D41390">
            <w:pPr>
              <w:tabs>
                <w:tab w:val="left" w:pos="567"/>
                <w:tab w:val="left" w:pos="1134"/>
              </w:tabs>
              <w:spacing w:after="0"/>
              <w:jc w:val="center"/>
              <w:rPr>
                <w:rFonts w:cs="Arial"/>
                <w:b/>
                <w:sz w:val="22"/>
                <w:szCs w:val="22"/>
              </w:rPr>
            </w:pPr>
            <w:r w:rsidRPr="00033801">
              <w:rPr>
                <w:rFonts w:cs="Arial"/>
                <w:b/>
                <w:sz w:val="22"/>
                <w:szCs w:val="22"/>
              </w:rPr>
              <w:t>£m</w:t>
            </w:r>
          </w:p>
        </w:tc>
        <w:tc>
          <w:tcPr>
            <w:tcW w:w="1175" w:type="dxa"/>
            <w:shd w:val="clear" w:color="auto" w:fill="BFBFBF" w:themeFill="background1" w:themeFillShade="BF"/>
            <w:noWrap/>
            <w:vAlign w:val="center"/>
            <w:hideMark/>
          </w:tcPr>
          <w:p w:rsidR="00EC3212" w:rsidRPr="00033801" w:rsidRDefault="00EC3212" w:rsidP="00D41390">
            <w:pPr>
              <w:tabs>
                <w:tab w:val="left" w:pos="567"/>
                <w:tab w:val="left" w:pos="1134"/>
              </w:tabs>
              <w:spacing w:after="0"/>
              <w:jc w:val="center"/>
              <w:rPr>
                <w:rFonts w:cs="Arial"/>
                <w:b/>
                <w:sz w:val="22"/>
                <w:szCs w:val="22"/>
              </w:rPr>
            </w:pPr>
            <w:r w:rsidRPr="00033801">
              <w:rPr>
                <w:rFonts w:cs="Arial"/>
                <w:b/>
                <w:sz w:val="22"/>
                <w:szCs w:val="22"/>
              </w:rPr>
              <w:t>2020/21</w:t>
            </w:r>
          </w:p>
          <w:p w:rsidR="00277907" w:rsidRPr="00033801" w:rsidRDefault="00277907" w:rsidP="00D41390">
            <w:pPr>
              <w:tabs>
                <w:tab w:val="left" w:pos="567"/>
                <w:tab w:val="left" w:pos="1134"/>
              </w:tabs>
              <w:spacing w:after="0"/>
              <w:jc w:val="center"/>
              <w:rPr>
                <w:rFonts w:cs="Arial"/>
                <w:b/>
                <w:sz w:val="22"/>
                <w:szCs w:val="22"/>
              </w:rPr>
            </w:pPr>
            <w:r w:rsidRPr="00033801">
              <w:rPr>
                <w:rFonts w:cs="Arial"/>
                <w:b/>
                <w:sz w:val="22"/>
                <w:szCs w:val="22"/>
              </w:rPr>
              <w:t>£m</w:t>
            </w:r>
          </w:p>
        </w:tc>
      </w:tr>
      <w:tr w:rsidR="00EC3212" w:rsidRPr="00033801" w:rsidTr="00033801">
        <w:trPr>
          <w:trHeight w:val="777"/>
        </w:trPr>
        <w:tc>
          <w:tcPr>
            <w:tcW w:w="3128" w:type="dxa"/>
            <w:noWrap/>
            <w:vAlign w:val="center"/>
            <w:hideMark/>
          </w:tcPr>
          <w:p w:rsidR="00EC3212" w:rsidRPr="00033801" w:rsidRDefault="00EC3212" w:rsidP="00277907">
            <w:pPr>
              <w:tabs>
                <w:tab w:val="left" w:pos="567"/>
                <w:tab w:val="left" w:pos="1134"/>
              </w:tabs>
              <w:spacing w:after="0"/>
              <w:jc w:val="left"/>
              <w:rPr>
                <w:rFonts w:cs="Arial"/>
                <w:sz w:val="22"/>
                <w:szCs w:val="22"/>
              </w:rPr>
            </w:pPr>
            <w:r w:rsidRPr="00033801">
              <w:rPr>
                <w:rFonts w:cs="Arial"/>
                <w:sz w:val="22"/>
                <w:szCs w:val="22"/>
              </w:rPr>
              <w:t xml:space="preserve">Council Tax </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388.834</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391.024</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392.028</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393.047</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394.069</w:t>
            </w:r>
          </w:p>
        </w:tc>
      </w:tr>
      <w:tr w:rsidR="00EC3212" w:rsidRPr="00033801" w:rsidTr="00033801">
        <w:trPr>
          <w:trHeight w:val="777"/>
        </w:trPr>
        <w:tc>
          <w:tcPr>
            <w:tcW w:w="3128" w:type="dxa"/>
            <w:noWrap/>
            <w:vAlign w:val="center"/>
            <w:hideMark/>
          </w:tcPr>
          <w:p w:rsidR="00EC3212" w:rsidRPr="00033801" w:rsidRDefault="00EC3212" w:rsidP="00277907">
            <w:pPr>
              <w:tabs>
                <w:tab w:val="left" w:pos="567"/>
                <w:tab w:val="left" w:pos="1134"/>
              </w:tabs>
              <w:spacing w:after="0"/>
              <w:jc w:val="left"/>
              <w:rPr>
                <w:rFonts w:cs="Arial"/>
                <w:sz w:val="22"/>
                <w:szCs w:val="22"/>
              </w:rPr>
            </w:pPr>
            <w:r w:rsidRPr="00033801">
              <w:rPr>
                <w:rFonts w:cs="Arial"/>
                <w:sz w:val="22"/>
                <w:szCs w:val="22"/>
              </w:rPr>
              <w:t xml:space="preserve">Business Rates </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179.933</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185.32</w:t>
            </w:r>
            <w:r w:rsidR="00161D2B" w:rsidRPr="00033801">
              <w:rPr>
                <w:rFonts w:cs="Arial"/>
                <w:sz w:val="22"/>
                <w:szCs w:val="22"/>
              </w:rPr>
              <w:t>0</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190.116</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195.056</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200.144</w:t>
            </w:r>
          </w:p>
        </w:tc>
      </w:tr>
      <w:tr w:rsidR="00EC3212" w:rsidRPr="00033801" w:rsidTr="00033801">
        <w:trPr>
          <w:trHeight w:val="777"/>
        </w:trPr>
        <w:tc>
          <w:tcPr>
            <w:tcW w:w="3128" w:type="dxa"/>
            <w:noWrap/>
            <w:vAlign w:val="center"/>
            <w:hideMark/>
          </w:tcPr>
          <w:p w:rsidR="00EC3212" w:rsidRPr="00033801" w:rsidRDefault="00EC3212" w:rsidP="00277907">
            <w:pPr>
              <w:tabs>
                <w:tab w:val="left" w:pos="567"/>
                <w:tab w:val="left" w:pos="1134"/>
              </w:tabs>
              <w:spacing w:after="0"/>
              <w:jc w:val="left"/>
              <w:rPr>
                <w:rFonts w:cs="Arial"/>
                <w:sz w:val="22"/>
                <w:szCs w:val="22"/>
              </w:rPr>
            </w:pPr>
            <w:r w:rsidRPr="00033801">
              <w:rPr>
                <w:rFonts w:cs="Arial"/>
                <w:sz w:val="22"/>
                <w:szCs w:val="22"/>
              </w:rPr>
              <w:t>RSG</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131.35</w:t>
            </w:r>
            <w:r w:rsidR="00161D2B" w:rsidRPr="00033801">
              <w:rPr>
                <w:rFonts w:cs="Arial"/>
                <w:sz w:val="22"/>
                <w:szCs w:val="22"/>
              </w:rPr>
              <w:t>3</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102.88</w:t>
            </w:r>
            <w:r w:rsidR="00161D2B" w:rsidRPr="00033801">
              <w:rPr>
                <w:rFonts w:cs="Arial"/>
                <w:sz w:val="22"/>
                <w:szCs w:val="22"/>
              </w:rPr>
              <w:t>7</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81.833</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70.67</w:t>
            </w:r>
            <w:r w:rsidR="00A80129" w:rsidRPr="00033801">
              <w:rPr>
                <w:rFonts w:cs="Arial"/>
                <w:sz w:val="22"/>
                <w:szCs w:val="22"/>
              </w:rPr>
              <w:t>8</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64.71</w:t>
            </w:r>
            <w:r w:rsidR="00D76295" w:rsidRPr="00033801">
              <w:rPr>
                <w:rFonts w:cs="Arial"/>
                <w:sz w:val="22"/>
                <w:szCs w:val="22"/>
              </w:rPr>
              <w:t>3</w:t>
            </w:r>
          </w:p>
        </w:tc>
      </w:tr>
      <w:tr w:rsidR="00EC3212" w:rsidRPr="00033801" w:rsidTr="00033801">
        <w:trPr>
          <w:trHeight w:val="777"/>
        </w:trPr>
        <w:tc>
          <w:tcPr>
            <w:tcW w:w="3128" w:type="dxa"/>
            <w:noWrap/>
            <w:vAlign w:val="center"/>
            <w:hideMark/>
          </w:tcPr>
          <w:p w:rsidR="00EC3212" w:rsidRPr="00033801" w:rsidRDefault="00EC3212" w:rsidP="00277907">
            <w:pPr>
              <w:tabs>
                <w:tab w:val="left" w:pos="567"/>
                <w:tab w:val="left" w:pos="1134"/>
              </w:tabs>
              <w:spacing w:after="0"/>
              <w:jc w:val="left"/>
              <w:rPr>
                <w:rFonts w:cs="Arial"/>
                <w:sz w:val="22"/>
                <w:szCs w:val="22"/>
              </w:rPr>
            </w:pPr>
            <w:r w:rsidRPr="00033801">
              <w:rPr>
                <w:rFonts w:cs="Arial"/>
                <w:sz w:val="22"/>
                <w:szCs w:val="22"/>
              </w:rPr>
              <w:t xml:space="preserve">New Homes Bonus </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4.914</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4.9</w:t>
            </w:r>
            <w:r w:rsidR="00A80129" w:rsidRPr="00033801">
              <w:rPr>
                <w:rFonts w:cs="Arial"/>
                <w:sz w:val="22"/>
                <w:szCs w:val="22"/>
              </w:rPr>
              <w:t>90</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5</w:t>
            </w:r>
            <w:r w:rsidR="00A80129" w:rsidRPr="00033801">
              <w:rPr>
                <w:rFonts w:cs="Arial"/>
                <w:sz w:val="22"/>
                <w:szCs w:val="22"/>
              </w:rPr>
              <w:t>.000</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5</w:t>
            </w:r>
            <w:r w:rsidR="00A80129" w:rsidRPr="00033801">
              <w:rPr>
                <w:rFonts w:cs="Arial"/>
                <w:sz w:val="22"/>
                <w:szCs w:val="22"/>
              </w:rPr>
              <w:t>.000</w:t>
            </w:r>
          </w:p>
        </w:tc>
        <w:tc>
          <w:tcPr>
            <w:tcW w:w="1175" w:type="dxa"/>
            <w:noWrap/>
            <w:vAlign w:val="center"/>
            <w:hideMark/>
          </w:tcPr>
          <w:p w:rsidR="00EC3212" w:rsidRPr="00033801" w:rsidRDefault="00EC3212" w:rsidP="00033801">
            <w:pPr>
              <w:tabs>
                <w:tab w:val="left" w:pos="567"/>
                <w:tab w:val="left" w:pos="1134"/>
              </w:tabs>
              <w:spacing w:after="0"/>
              <w:jc w:val="center"/>
              <w:rPr>
                <w:rFonts w:cs="Arial"/>
                <w:sz w:val="22"/>
                <w:szCs w:val="22"/>
              </w:rPr>
            </w:pPr>
            <w:r w:rsidRPr="00033801">
              <w:rPr>
                <w:rFonts w:cs="Arial"/>
                <w:sz w:val="22"/>
                <w:szCs w:val="22"/>
              </w:rPr>
              <w:t>5</w:t>
            </w:r>
            <w:r w:rsidR="00A80129" w:rsidRPr="00033801">
              <w:rPr>
                <w:rFonts w:cs="Arial"/>
                <w:sz w:val="22"/>
                <w:szCs w:val="22"/>
              </w:rPr>
              <w:t>.000</w:t>
            </w:r>
          </w:p>
        </w:tc>
      </w:tr>
      <w:tr w:rsidR="00EC3212" w:rsidRPr="00033801" w:rsidTr="00B86F4F">
        <w:trPr>
          <w:trHeight w:val="777"/>
        </w:trPr>
        <w:tc>
          <w:tcPr>
            <w:tcW w:w="3128" w:type="dxa"/>
            <w:shd w:val="clear" w:color="auto" w:fill="BFBFBF" w:themeFill="background1" w:themeFillShade="BF"/>
            <w:noWrap/>
            <w:vAlign w:val="center"/>
            <w:hideMark/>
          </w:tcPr>
          <w:p w:rsidR="00033801" w:rsidRDefault="00277907" w:rsidP="00277907">
            <w:pPr>
              <w:tabs>
                <w:tab w:val="left" w:pos="567"/>
                <w:tab w:val="left" w:pos="1134"/>
              </w:tabs>
              <w:spacing w:after="0"/>
              <w:jc w:val="left"/>
              <w:rPr>
                <w:rFonts w:cs="Arial"/>
                <w:b/>
                <w:sz w:val="22"/>
                <w:szCs w:val="22"/>
              </w:rPr>
            </w:pPr>
            <w:r w:rsidRPr="00033801">
              <w:rPr>
                <w:rFonts w:cs="Arial"/>
                <w:b/>
                <w:sz w:val="22"/>
                <w:szCs w:val="22"/>
              </w:rPr>
              <w:t xml:space="preserve">Total </w:t>
            </w:r>
            <w:r w:rsidR="00EC3212" w:rsidRPr="00033801">
              <w:rPr>
                <w:rFonts w:cs="Arial"/>
                <w:b/>
                <w:sz w:val="22"/>
                <w:szCs w:val="22"/>
              </w:rPr>
              <w:t xml:space="preserve">Estimated </w:t>
            </w:r>
          </w:p>
          <w:p w:rsidR="00033801" w:rsidRPr="00033801" w:rsidRDefault="00EC3212" w:rsidP="00277907">
            <w:pPr>
              <w:tabs>
                <w:tab w:val="left" w:pos="567"/>
                <w:tab w:val="left" w:pos="1134"/>
              </w:tabs>
              <w:spacing w:after="0"/>
              <w:jc w:val="left"/>
              <w:rPr>
                <w:rFonts w:cs="Arial"/>
                <w:b/>
                <w:sz w:val="22"/>
                <w:szCs w:val="22"/>
              </w:rPr>
            </w:pPr>
            <w:r w:rsidRPr="00033801">
              <w:rPr>
                <w:rFonts w:cs="Arial"/>
                <w:b/>
                <w:sz w:val="22"/>
                <w:szCs w:val="22"/>
              </w:rPr>
              <w:t xml:space="preserve">Resources </w:t>
            </w:r>
            <w:r w:rsidR="00563D16" w:rsidRPr="00033801">
              <w:rPr>
                <w:rFonts w:cs="Arial"/>
                <w:b/>
                <w:sz w:val="22"/>
                <w:szCs w:val="22"/>
              </w:rPr>
              <w:t xml:space="preserve">at </w:t>
            </w:r>
          </w:p>
          <w:p w:rsidR="00EC3212" w:rsidRPr="00033801" w:rsidRDefault="00EC3212" w:rsidP="00277907">
            <w:pPr>
              <w:tabs>
                <w:tab w:val="left" w:pos="567"/>
                <w:tab w:val="left" w:pos="1134"/>
              </w:tabs>
              <w:spacing w:after="0"/>
              <w:jc w:val="left"/>
              <w:rPr>
                <w:rFonts w:cs="Arial"/>
                <w:b/>
                <w:sz w:val="22"/>
                <w:szCs w:val="22"/>
              </w:rPr>
            </w:pPr>
            <w:r w:rsidRPr="00033801">
              <w:rPr>
                <w:rFonts w:cs="Arial"/>
                <w:b/>
                <w:sz w:val="22"/>
                <w:szCs w:val="22"/>
              </w:rPr>
              <w:t>November</w:t>
            </w:r>
            <w:r w:rsidR="00563D16" w:rsidRPr="00033801">
              <w:rPr>
                <w:rFonts w:cs="Arial"/>
                <w:b/>
                <w:sz w:val="22"/>
                <w:szCs w:val="22"/>
              </w:rPr>
              <w:t xml:space="preserve"> 2015</w:t>
            </w:r>
          </w:p>
        </w:tc>
        <w:tc>
          <w:tcPr>
            <w:tcW w:w="1175" w:type="dxa"/>
            <w:shd w:val="clear" w:color="auto" w:fill="BFBFBF" w:themeFill="background1" w:themeFillShade="BF"/>
            <w:noWrap/>
            <w:vAlign w:val="center"/>
            <w:hideMark/>
          </w:tcPr>
          <w:p w:rsidR="00EC3212" w:rsidRPr="00033801" w:rsidRDefault="00EC3212" w:rsidP="00033801">
            <w:pPr>
              <w:tabs>
                <w:tab w:val="left" w:pos="567"/>
                <w:tab w:val="left" w:pos="1134"/>
              </w:tabs>
              <w:spacing w:after="0"/>
              <w:jc w:val="center"/>
              <w:rPr>
                <w:rFonts w:cs="Arial"/>
                <w:b/>
                <w:sz w:val="22"/>
                <w:szCs w:val="22"/>
              </w:rPr>
            </w:pPr>
            <w:r w:rsidRPr="00033801">
              <w:rPr>
                <w:rFonts w:cs="Arial"/>
                <w:b/>
                <w:sz w:val="22"/>
                <w:szCs w:val="22"/>
              </w:rPr>
              <w:t>705.03</w:t>
            </w:r>
            <w:r w:rsidR="00A80129" w:rsidRPr="00033801">
              <w:rPr>
                <w:rFonts w:cs="Arial"/>
                <w:b/>
                <w:sz w:val="22"/>
                <w:szCs w:val="22"/>
              </w:rPr>
              <w:t>4</w:t>
            </w:r>
          </w:p>
        </w:tc>
        <w:tc>
          <w:tcPr>
            <w:tcW w:w="1175" w:type="dxa"/>
            <w:shd w:val="clear" w:color="auto" w:fill="BFBFBF" w:themeFill="background1" w:themeFillShade="BF"/>
            <w:noWrap/>
            <w:vAlign w:val="center"/>
            <w:hideMark/>
          </w:tcPr>
          <w:p w:rsidR="00EC3212" w:rsidRPr="00033801" w:rsidRDefault="00EC3212" w:rsidP="00033801">
            <w:pPr>
              <w:tabs>
                <w:tab w:val="left" w:pos="567"/>
                <w:tab w:val="left" w:pos="1134"/>
              </w:tabs>
              <w:spacing w:after="0"/>
              <w:jc w:val="center"/>
              <w:rPr>
                <w:rFonts w:cs="Arial"/>
                <w:b/>
                <w:sz w:val="22"/>
                <w:szCs w:val="22"/>
              </w:rPr>
            </w:pPr>
            <w:r w:rsidRPr="00033801">
              <w:rPr>
                <w:rFonts w:cs="Arial"/>
                <w:b/>
                <w:sz w:val="22"/>
                <w:szCs w:val="22"/>
              </w:rPr>
              <w:t>684.221</w:t>
            </w:r>
          </w:p>
        </w:tc>
        <w:tc>
          <w:tcPr>
            <w:tcW w:w="1175" w:type="dxa"/>
            <w:shd w:val="clear" w:color="auto" w:fill="BFBFBF" w:themeFill="background1" w:themeFillShade="BF"/>
            <w:noWrap/>
            <w:vAlign w:val="center"/>
            <w:hideMark/>
          </w:tcPr>
          <w:p w:rsidR="00EC3212" w:rsidRPr="00033801" w:rsidRDefault="00EC3212" w:rsidP="00033801">
            <w:pPr>
              <w:tabs>
                <w:tab w:val="left" w:pos="567"/>
                <w:tab w:val="left" w:pos="1134"/>
              </w:tabs>
              <w:spacing w:after="0"/>
              <w:jc w:val="center"/>
              <w:rPr>
                <w:rFonts w:cs="Arial"/>
                <w:b/>
                <w:sz w:val="22"/>
                <w:szCs w:val="22"/>
              </w:rPr>
            </w:pPr>
            <w:r w:rsidRPr="00033801">
              <w:rPr>
                <w:rFonts w:cs="Arial"/>
                <w:b/>
                <w:sz w:val="22"/>
                <w:szCs w:val="22"/>
              </w:rPr>
              <w:t>668.977</w:t>
            </w:r>
          </w:p>
        </w:tc>
        <w:tc>
          <w:tcPr>
            <w:tcW w:w="1175" w:type="dxa"/>
            <w:shd w:val="clear" w:color="auto" w:fill="BFBFBF" w:themeFill="background1" w:themeFillShade="BF"/>
            <w:noWrap/>
            <w:vAlign w:val="center"/>
            <w:hideMark/>
          </w:tcPr>
          <w:p w:rsidR="00EC3212" w:rsidRPr="00033801" w:rsidRDefault="00EC3212" w:rsidP="00033801">
            <w:pPr>
              <w:tabs>
                <w:tab w:val="left" w:pos="567"/>
                <w:tab w:val="left" w:pos="1134"/>
              </w:tabs>
              <w:spacing w:after="0"/>
              <w:jc w:val="center"/>
              <w:rPr>
                <w:rFonts w:cs="Arial"/>
                <w:b/>
                <w:sz w:val="22"/>
                <w:szCs w:val="22"/>
              </w:rPr>
            </w:pPr>
            <w:r w:rsidRPr="00033801">
              <w:rPr>
                <w:rFonts w:cs="Arial"/>
                <w:b/>
                <w:sz w:val="22"/>
                <w:szCs w:val="22"/>
              </w:rPr>
              <w:t>663.781</w:t>
            </w:r>
          </w:p>
        </w:tc>
        <w:tc>
          <w:tcPr>
            <w:tcW w:w="1175" w:type="dxa"/>
            <w:shd w:val="clear" w:color="auto" w:fill="BFBFBF" w:themeFill="background1" w:themeFillShade="BF"/>
            <w:noWrap/>
            <w:vAlign w:val="center"/>
            <w:hideMark/>
          </w:tcPr>
          <w:p w:rsidR="00EC3212" w:rsidRPr="00033801" w:rsidRDefault="00EC3212" w:rsidP="00033801">
            <w:pPr>
              <w:tabs>
                <w:tab w:val="left" w:pos="567"/>
                <w:tab w:val="left" w:pos="1134"/>
              </w:tabs>
              <w:spacing w:after="0"/>
              <w:jc w:val="center"/>
              <w:rPr>
                <w:rFonts w:cs="Arial"/>
                <w:b/>
                <w:sz w:val="22"/>
                <w:szCs w:val="22"/>
              </w:rPr>
            </w:pPr>
            <w:r w:rsidRPr="00033801">
              <w:rPr>
                <w:rFonts w:cs="Arial"/>
                <w:b/>
                <w:sz w:val="22"/>
                <w:szCs w:val="22"/>
              </w:rPr>
              <w:t>663.92</w:t>
            </w:r>
            <w:r w:rsidR="00A80129" w:rsidRPr="00033801">
              <w:rPr>
                <w:rFonts w:cs="Arial"/>
                <w:b/>
                <w:sz w:val="22"/>
                <w:szCs w:val="22"/>
              </w:rPr>
              <w:t>6</w:t>
            </w:r>
          </w:p>
        </w:tc>
      </w:tr>
    </w:tbl>
    <w:p w:rsidR="00EC3212" w:rsidRPr="00EC3212" w:rsidRDefault="00EC3212" w:rsidP="00735E90">
      <w:pPr>
        <w:tabs>
          <w:tab w:val="left" w:pos="567"/>
          <w:tab w:val="left" w:pos="1134"/>
        </w:tabs>
        <w:spacing w:after="0"/>
        <w:rPr>
          <w:rFonts w:cs="Arial"/>
        </w:rPr>
      </w:pPr>
    </w:p>
    <w:p w:rsidR="00E37841" w:rsidRPr="00735E90" w:rsidRDefault="00E37841" w:rsidP="00735E90">
      <w:pPr>
        <w:tabs>
          <w:tab w:val="left" w:pos="567"/>
          <w:tab w:val="left" w:pos="1134"/>
        </w:tabs>
        <w:spacing w:after="0"/>
        <w:rPr>
          <w:rFonts w:cs="Arial"/>
          <w:b/>
        </w:rPr>
      </w:pPr>
    </w:p>
    <w:p w:rsidR="00932C3B" w:rsidRPr="00472F78" w:rsidRDefault="006E0BEE" w:rsidP="008D5D96">
      <w:pPr>
        <w:tabs>
          <w:tab w:val="left" w:pos="567"/>
          <w:tab w:val="left" w:pos="1134"/>
        </w:tabs>
        <w:spacing w:after="0"/>
        <w:rPr>
          <w:rFonts w:cs="Arial"/>
          <w:b/>
        </w:rPr>
      </w:pPr>
      <w:r w:rsidRPr="00472F78">
        <w:rPr>
          <w:rFonts w:cs="Arial"/>
          <w:b/>
        </w:rPr>
        <w:t>2.</w:t>
      </w:r>
      <w:r w:rsidR="00757FB9" w:rsidRPr="00472F78">
        <w:rPr>
          <w:rFonts w:cs="Arial"/>
          <w:b/>
        </w:rPr>
        <w:t>1</w:t>
      </w:r>
      <w:r w:rsidRPr="00472F78">
        <w:rPr>
          <w:rFonts w:cs="Arial"/>
          <w:b/>
        </w:rPr>
        <w:t xml:space="preserve"> </w:t>
      </w:r>
      <w:r w:rsidR="00465DBB" w:rsidRPr="00472F78">
        <w:rPr>
          <w:rFonts w:cs="Arial"/>
          <w:b/>
        </w:rPr>
        <w:t>Provisional Local Government Finance Settlement December 2015</w:t>
      </w:r>
    </w:p>
    <w:p w:rsidR="00F25BB4" w:rsidRPr="00472F78" w:rsidRDefault="00F25BB4" w:rsidP="008D5D96">
      <w:pPr>
        <w:tabs>
          <w:tab w:val="left" w:pos="567"/>
          <w:tab w:val="left" w:pos="1134"/>
        </w:tabs>
        <w:spacing w:after="0"/>
        <w:rPr>
          <w:rFonts w:cs="Arial"/>
          <w:b/>
        </w:rPr>
      </w:pPr>
    </w:p>
    <w:p w:rsidR="00F25BB4" w:rsidRPr="00472F78" w:rsidRDefault="00F25BB4" w:rsidP="008D5D96">
      <w:pPr>
        <w:tabs>
          <w:tab w:val="left" w:pos="567"/>
          <w:tab w:val="left" w:pos="1134"/>
        </w:tabs>
        <w:spacing w:after="0"/>
        <w:rPr>
          <w:rFonts w:cs="Arial"/>
        </w:rPr>
      </w:pPr>
      <w:r w:rsidRPr="00472F78">
        <w:rPr>
          <w:rFonts w:cs="Arial"/>
        </w:rPr>
        <w:t xml:space="preserve">The Secretary of State issued the provisional Local Government Settlement on 17th December which provided details of support to local authorities for the next four years. In particular </w:t>
      </w:r>
      <w:r w:rsidR="00781806" w:rsidRPr="00472F78">
        <w:rPr>
          <w:rFonts w:cs="Arial"/>
        </w:rPr>
        <w:t>the Settlement covered</w:t>
      </w:r>
      <w:r w:rsidRPr="00472F78">
        <w:rPr>
          <w:rFonts w:cs="Arial"/>
        </w:rPr>
        <w:t xml:space="preserve"> details on the</w:t>
      </w:r>
      <w:r w:rsidR="00757FB9" w:rsidRPr="00472F78">
        <w:rPr>
          <w:rFonts w:cs="Arial"/>
        </w:rPr>
        <w:t>:</w:t>
      </w:r>
    </w:p>
    <w:p w:rsidR="00F25BB4" w:rsidRPr="00472F78" w:rsidRDefault="00F25BB4" w:rsidP="008D5D96">
      <w:pPr>
        <w:tabs>
          <w:tab w:val="left" w:pos="567"/>
          <w:tab w:val="left" w:pos="1134"/>
        </w:tabs>
        <w:spacing w:after="0"/>
        <w:rPr>
          <w:rFonts w:cs="Arial"/>
        </w:rPr>
      </w:pPr>
    </w:p>
    <w:p w:rsidR="00F25BB4" w:rsidRPr="00472F78" w:rsidRDefault="00F25BB4" w:rsidP="008D5D96">
      <w:pPr>
        <w:pStyle w:val="ListParagraph"/>
        <w:numPr>
          <w:ilvl w:val="0"/>
          <w:numId w:val="41"/>
        </w:numPr>
        <w:tabs>
          <w:tab w:val="left" w:pos="567"/>
          <w:tab w:val="left" w:pos="1134"/>
        </w:tabs>
        <w:spacing w:after="0"/>
        <w:rPr>
          <w:rFonts w:cs="Arial"/>
        </w:rPr>
      </w:pPr>
      <w:r w:rsidRPr="00472F78">
        <w:rPr>
          <w:rFonts w:cs="Arial"/>
        </w:rPr>
        <w:t>Settlement Funding Assessment</w:t>
      </w:r>
    </w:p>
    <w:p w:rsidR="00F25BB4" w:rsidRPr="00472F78" w:rsidRDefault="00F25BB4" w:rsidP="008D5D96">
      <w:pPr>
        <w:pStyle w:val="ListParagraph"/>
        <w:numPr>
          <w:ilvl w:val="0"/>
          <w:numId w:val="41"/>
        </w:numPr>
        <w:tabs>
          <w:tab w:val="left" w:pos="567"/>
          <w:tab w:val="left" w:pos="1134"/>
        </w:tabs>
        <w:spacing w:after="0"/>
        <w:rPr>
          <w:rFonts w:cs="Arial"/>
        </w:rPr>
      </w:pPr>
      <w:r w:rsidRPr="00472F78">
        <w:rPr>
          <w:rFonts w:cs="Arial"/>
        </w:rPr>
        <w:t>A new Better Care Fund</w:t>
      </w:r>
    </w:p>
    <w:p w:rsidR="00F25BB4" w:rsidRPr="00472F78" w:rsidRDefault="00F25BB4" w:rsidP="008D5D96">
      <w:pPr>
        <w:pStyle w:val="ListParagraph"/>
        <w:numPr>
          <w:ilvl w:val="0"/>
          <w:numId w:val="41"/>
        </w:numPr>
        <w:tabs>
          <w:tab w:val="left" w:pos="567"/>
          <w:tab w:val="left" w:pos="1134"/>
        </w:tabs>
        <w:spacing w:after="0"/>
        <w:rPr>
          <w:rFonts w:cs="Arial"/>
        </w:rPr>
      </w:pPr>
      <w:r w:rsidRPr="00472F78">
        <w:rPr>
          <w:rFonts w:cs="Arial"/>
        </w:rPr>
        <w:t>New Homes Bonus</w:t>
      </w:r>
    </w:p>
    <w:p w:rsidR="00F25BB4" w:rsidRPr="00472F78" w:rsidRDefault="00F25BB4" w:rsidP="008D5D96">
      <w:pPr>
        <w:pStyle w:val="ListParagraph"/>
        <w:numPr>
          <w:ilvl w:val="0"/>
          <w:numId w:val="41"/>
        </w:numPr>
        <w:tabs>
          <w:tab w:val="left" w:pos="567"/>
          <w:tab w:val="left" w:pos="1134"/>
        </w:tabs>
        <w:spacing w:after="0"/>
        <w:rPr>
          <w:rFonts w:cs="Arial"/>
        </w:rPr>
      </w:pPr>
      <w:r w:rsidRPr="00472F78">
        <w:rPr>
          <w:rFonts w:cs="Arial"/>
        </w:rPr>
        <w:t>Use of Capital receipts</w:t>
      </w:r>
    </w:p>
    <w:p w:rsidR="00F25BB4" w:rsidRPr="00472F78" w:rsidRDefault="00F25BB4" w:rsidP="008D5D96">
      <w:pPr>
        <w:pStyle w:val="ListParagraph"/>
        <w:numPr>
          <w:ilvl w:val="0"/>
          <w:numId w:val="41"/>
        </w:numPr>
        <w:tabs>
          <w:tab w:val="left" w:pos="567"/>
          <w:tab w:val="left" w:pos="1134"/>
        </w:tabs>
        <w:spacing w:after="0"/>
        <w:rPr>
          <w:rFonts w:cs="Arial"/>
        </w:rPr>
      </w:pPr>
      <w:r w:rsidRPr="00472F78">
        <w:rPr>
          <w:rFonts w:cs="Arial"/>
        </w:rPr>
        <w:t>C</w:t>
      </w:r>
      <w:r w:rsidR="000A4469" w:rsidRPr="00472F78">
        <w:rPr>
          <w:rFonts w:cs="Arial"/>
        </w:rPr>
        <w:t>ouncil Tax increase limitations</w:t>
      </w:r>
    </w:p>
    <w:p w:rsidR="00781806" w:rsidRPr="00472F78" w:rsidRDefault="00781806" w:rsidP="008D5D96">
      <w:pPr>
        <w:pStyle w:val="ListParagraph"/>
        <w:numPr>
          <w:ilvl w:val="0"/>
          <w:numId w:val="41"/>
        </w:numPr>
        <w:tabs>
          <w:tab w:val="left" w:pos="567"/>
          <w:tab w:val="left" w:pos="1134"/>
        </w:tabs>
        <w:spacing w:after="0"/>
        <w:rPr>
          <w:rFonts w:cs="Arial"/>
        </w:rPr>
      </w:pPr>
      <w:r w:rsidRPr="00472F78">
        <w:rPr>
          <w:rFonts w:cs="Arial"/>
        </w:rPr>
        <w:t>Business Rates Pooling</w:t>
      </w:r>
    </w:p>
    <w:p w:rsidR="00F25BB4" w:rsidRPr="00472F78" w:rsidRDefault="00F25BB4" w:rsidP="008D5D96">
      <w:pPr>
        <w:tabs>
          <w:tab w:val="left" w:pos="567"/>
          <w:tab w:val="left" w:pos="1134"/>
        </w:tabs>
        <w:spacing w:after="0"/>
        <w:rPr>
          <w:rFonts w:cs="Arial"/>
          <w:b/>
        </w:rPr>
      </w:pPr>
    </w:p>
    <w:p w:rsidR="00F25BB4" w:rsidRPr="00472F78" w:rsidRDefault="00F25BB4" w:rsidP="008D5D96">
      <w:pPr>
        <w:tabs>
          <w:tab w:val="left" w:pos="567"/>
          <w:tab w:val="left" w:pos="1134"/>
        </w:tabs>
        <w:spacing w:after="0"/>
        <w:rPr>
          <w:rFonts w:cs="Arial"/>
          <w:b/>
        </w:rPr>
      </w:pPr>
      <w:r w:rsidRPr="00472F78">
        <w:rPr>
          <w:rFonts w:cs="Arial"/>
          <w:b/>
        </w:rPr>
        <w:t>2.</w:t>
      </w:r>
      <w:r w:rsidR="00757FB9" w:rsidRPr="00472F78">
        <w:rPr>
          <w:rFonts w:cs="Arial"/>
          <w:b/>
        </w:rPr>
        <w:t xml:space="preserve">2 </w:t>
      </w:r>
      <w:r w:rsidRPr="00472F78">
        <w:rPr>
          <w:rFonts w:cs="Arial"/>
          <w:b/>
        </w:rPr>
        <w:t>Settlement Funding Assessment (SFA)</w:t>
      </w:r>
    </w:p>
    <w:p w:rsidR="003D58F1" w:rsidRPr="00472F78" w:rsidRDefault="00F25BB4" w:rsidP="008D5D96">
      <w:pPr>
        <w:tabs>
          <w:tab w:val="left" w:pos="567"/>
          <w:tab w:val="left" w:pos="1134"/>
        </w:tabs>
        <w:spacing w:after="0"/>
        <w:rPr>
          <w:rFonts w:cs="Arial"/>
          <w:b/>
        </w:rPr>
      </w:pPr>
      <w:r w:rsidRPr="00472F78">
        <w:rPr>
          <w:rFonts w:cs="Arial"/>
          <w:b/>
        </w:rPr>
        <w:t xml:space="preserve"> </w:t>
      </w:r>
    </w:p>
    <w:p w:rsidR="00465DBB" w:rsidRPr="00472F78" w:rsidRDefault="00465DBB" w:rsidP="00E7457D">
      <w:pPr>
        <w:spacing w:after="0"/>
        <w:rPr>
          <w:rFonts w:cs="Arial"/>
        </w:rPr>
      </w:pPr>
      <w:r w:rsidRPr="00472F78">
        <w:rPr>
          <w:rFonts w:cs="Arial"/>
        </w:rPr>
        <w:t>The S</w:t>
      </w:r>
      <w:r w:rsidR="00AB2899" w:rsidRPr="00472F78">
        <w:rPr>
          <w:rFonts w:cs="Arial"/>
        </w:rPr>
        <w:t xml:space="preserve">ettlement </w:t>
      </w:r>
      <w:r w:rsidRPr="00472F78">
        <w:rPr>
          <w:rFonts w:cs="Arial"/>
        </w:rPr>
        <w:t>F</w:t>
      </w:r>
      <w:r w:rsidR="00AB2899" w:rsidRPr="00472F78">
        <w:rPr>
          <w:rFonts w:cs="Arial"/>
        </w:rPr>
        <w:t xml:space="preserve">unding </w:t>
      </w:r>
      <w:r w:rsidRPr="00472F78">
        <w:rPr>
          <w:rFonts w:cs="Arial"/>
        </w:rPr>
        <w:t>A</w:t>
      </w:r>
      <w:r w:rsidR="00AB2899" w:rsidRPr="00472F78">
        <w:rPr>
          <w:rFonts w:cs="Arial"/>
        </w:rPr>
        <w:t xml:space="preserve">ssessment (SFA) </w:t>
      </w:r>
      <w:r w:rsidRPr="00472F78">
        <w:rPr>
          <w:rFonts w:cs="Arial"/>
        </w:rPr>
        <w:t xml:space="preserve">is a measure of the income that will be received from </w:t>
      </w:r>
      <w:r w:rsidR="000A4469" w:rsidRPr="00472F78">
        <w:rPr>
          <w:rFonts w:cs="Arial"/>
        </w:rPr>
        <w:t>Business R</w:t>
      </w:r>
      <w:r w:rsidRPr="00472F78">
        <w:rPr>
          <w:rFonts w:cs="Arial"/>
        </w:rPr>
        <w:t>ates and Revenue Support Grant (RSG).</w:t>
      </w:r>
      <w:r w:rsidR="00AB2899" w:rsidRPr="00472F78">
        <w:rPr>
          <w:rFonts w:cs="Arial"/>
        </w:rPr>
        <w:t xml:space="preserve"> From the 2015/16 SFA (adjusted to reflect change in grants included within the SFA) to 2019/20</w:t>
      </w:r>
      <w:r w:rsidR="000A4469" w:rsidRPr="00472F78">
        <w:rPr>
          <w:rFonts w:cs="Arial"/>
        </w:rPr>
        <w:t xml:space="preserve">, the County Council's </w:t>
      </w:r>
      <w:r w:rsidR="00AB2899" w:rsidRPr="00472F78">
        <w:rPr>
          <w:rFonts w:cs="Arial"/>
        </w:rPr>
        <w:t xml:space="preserve">SFA is showing a </w:t>
      </w:r>
      <w:r w:rsidRPr="00472F78">
        <w:rPr>
          <w:rFonts w:cs="Arial"/>
        </w:rPr>
        <w:t>reduction of £117.7m (34.7%).</w:t>
      </w: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0A747F" w:rsidRDefault="000A747F" w:rsidP="00E7457D">
      <w:pPr>
        <w:spacing w:after="0"/>
        <w:rPr>
          <w:rFonts w:cs="Arial"/>
        </w:rPr>
      </w:pPr>
    </w:p>
    <w:p w:rsidR="00E7457D" w:rsidRDefault="00E7457D" w:rsidP="00E7457D">
      <w:pPr>
        <w:spacing w:after="0"/>
        <w:rPr>
          <w:rFonts w:cs="Arial"/>
        </w:rPr>
      </w:pPr>
    </w:p>
    <w:tbl>
      <w:tblPr>
        <w:tblStyle w:val="TableGrid"/>
        <w:tblW w:w="9024" w:type="dxa"/>
        <w:tblLook w:val="04A0" w:firstRow="1" w:lastRow="0" w:firstColumn="1" w:lastColumn="0" w:noHBand="0" w:noVBand="1"/>
      </w:tblPr>
      <w:tblGrid>
        <w:gridCol w:w="1949"/>
        <w:gridCol w:w="1415"/>
        <w:gridCol w:w="1415"/>
        <w:gridCol w:w="1415"/>
        <w:gridCol w:w="1415"/>
        <w:gridCol w:w="1415"/>
      </w:tblGrid>
      <w:tr w:rsidR="00465DBB" w:rsidRPr="006225AE" w:rsidTr="007426D8">
        <w:trPr>
          <w:trHeight w:val="749"/>
        </w:trPr>
        <w:tc>
          <w:tcPr>
            <w:tcW w:w="1949"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p>
          <w:p w:rsidR="00E7457D" w:rsidRPr="006225AE" w:rsidRDefault="00E7457D" w:rsidP="007426D8">
            <w:pPr>
              <w:spacing w:after="0"/>
              <w:jc w:val="center"/>
              <w:rPr>
                <w:rFonts w:cs="Arial"/>
                <w:b/>
                <w:sz w:val="22"/>
                <w:szCs w:val="22"/>
              </w:rPr>
            </w:pPr>
          </w:p>
        </w:tc>
        <w:tc>
          <w:tcPr>
            <w:tcW w:w="1415"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r w:rsidRPr="006225AE">
              <w:rPr>
                <w:rFonts w:cs="Arial"/>
                <w:b/>
                <w:sz w:val="22"/>
                <w:szCs w:val="22"/>
              </w:rPr>
              <w:t>2015/16 (adjusted)</w:t>
            </w:r>
          </w:p>
          <w:p w:rsidR="007426D8" w:rsidRPr="006225AE" w:rsidRDefault="007426D8" w:rsidP="007426D8">
            <w:pPr>
              <w:spacing w:after="0"/>
              <w:jc w:val="center"/>
              <w:rPr>
                <w:rFonts w:cs="Arial"/>
                <w:b/>
                <w:sz w:val="22"/>
                <w:szCs w:val="22"/>
              </w:rPr>
            </w:pPr>
            <w:r>
              <w:rPr>
                <w:rFonts w:cs="Arial"/>
                <w:b/>
                <w:sz w:val="22"/>
                <w:szCs w:val="22"/>
              </w:rPr>
              <w:t>£m</w:t>
            </w:r>
          </w:p>
        </w:tc>
        <w:tc>
          <w:tcPr>
            <w:tcW w:w="1415"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r w:rsidRPr="006225AE">
              <w:rPr>
                <w:rFonts w:cs="Arial"/>
                <w:b/>
                <w:sz w:val="22"/>
                <w:szCs w:val="22"/>
              </w:rPr>
              <w:t>2016/17</w:t>
            </w:r>
          </w:p>
          <w:p w:rsidR="007426D8" w:rsidRPr="006225AE" w:rsidRDefault="007426D8" w:rsidP="007426D8">
            <w:pPr>
              <w:spacing w:after="0"/>
              <w:jc w:val="center"/>
              <w:rPr>
                <w:rFonts w:cs="Arial"/>
                <w:b/>
                <w:sz w:val="22"/>
                <w:szCs w:val="22"/>
              </w:rPr>
            </w:pPr>
            <w:r>
              <w:rPr>
                <w:rFonts w:cs="Arial"/>
                <w:b/>
                <w:sz w:val="22"/>
                <w:szCs w:val="22"/>
              </w:rPr>
              <w:t>£m</w:t>
            </w:r>
          </w:p>
        </w:tc>
        <w:tc>
          <w:tcPr>
            <w:tcW w:w="1415"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r w:rsidRPr="006225AE">
              <w:rPr>
                <w:rFonts w:cs="Arial"/>
                <w:b/>
                <w:sz w:val="22"/>
                <w:szCs w:val="22"/>
              </w:rPr>
              <w:t>2017/18</w:t>
            </w:r>
          </w:p>
          <w:p w:rsidR="007426D8" w:rsidRPr="006225AE" w:rsidRDefault="007426D8" w:rsidP="007426D8">
            <w:pPr>
              <w:spacing w:after="0"/>
              <w:jc w:val="center"/>
              <w:rPr>
                <w:rFonts w:cs="Arial"/>
                <w:b/>
                <w:sz w:val="22"/>
                <w:szCs w:val="22"/>
              </w:rPr>
            </w:pPr>
            <w:r>
              <w:rPr>
                <w:rFonts w:cs="Arial"/>
                <w:b/>
                <w:sz w:val="22"/>
                <w:szCs w:val="22"/>
              </w:rPr>
              <w:t>£m</w:t>
            </w:r>
          </w:p>
        </w:tc>
        <w:tc>
          <w:tcPr>
            <w:tcW w:w="1415"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r w:rsidRPr="006225AE">
              <w:rPr>
                <w:rFonts w:cs="Arial"/>
                <w:b/>
                <w:sz w:val="22"/>
                <w:szCs w:val="22"/>
              </w:rPr>
              <w:t>2018/19</w:t>
            </w:r>
          </w:p>
          <w:p w:rsidR="007426D8" w:rsidRPr="006225AE" w:rsidRDefault="007426D8" w:rsidP="007426D8">
            <w:pPr>
              <w:spacing w:after="0"/>
              <w:jc w:val="center"/>
              <w:rPr>
                <w:rFonts w:cs="Arial"/>
                <w:b/>
                <w:sz w:val="22"/>
                <w:szCs w:val="22"/>
              </w:rPr>
            </w:pPr>
            <w:r>
              <w:rPr>
                <w:rFonts w:cs="Arial"/>
                <w:b/>
                <w:sz w:val="22"/>
                <w:szCs w:val="22"/>
              </w:rPr>
              <w:t>£m</w:t>
            </w:r>
          </w:p>
        </w:tc>
        <w:tc>
          <w:tcPr>
            <w:tcW w:w="1415" w:type="dxa"/>
            <w:tcBorders>
              <w:bottom w:val="nil"/>
            </w:tcBorders>
            <w:shd w:val="clear" w:color="auto" w:fill="BFBFBF" w:themeFill="background1" w:themeFillShade="BF"/>
            <w:vAlign w:val="center"/>
          </w:tcPr>
          <w:p w:rsidR="00465DBB" w:rsidRDefault="00465DBB" w:rsidP="007426D8">
            <w:pPr>
              <w:spacing w:after="0"/>
              <w:jc w:val="center"/>
              <w:rPr>
                <w:rFonts w:cs="Arial"/>
                <w:b/>
                <w:sz w:val="22"/>
                <w:szCs w:val="22"/>
              </w:rPr>
            </w:pPr>
            <w:r w:rsidRPr="006225AE">
              <w:rPr>
                <w:rFonts w:cs="Arial"/>
                <w:b/>
                <w:sz w:val="22"/>
                <w:szCs w:val="22"/>
              </w:rPr>
              <w:t>2019/20</w:t>
            </w:r>
          </w:p>
          <w:p w:rsidR="007426D8" w:rsidRPr="006225AE" w:rsidRDefault="007426D8" w:rsidP="007426D8">
            <w:pPr>
              <w:spacing w:after="0"/>
              <w:jc w:val="center"/>
              <w:rPr>
                <w:rFonts w:cs="Arial"/>
                <w:b/>
                <w:sz w:val="22"/>
                <w:szCs w:val="22"/>
              </w:rPr>
            </w:pPr>
            <w:r>
              <w:rPr>
                <w:rFonts w:cs="Arial"/>
                <w:b/>
                <w:sz w:val="22"/>
                <w:szCs w:val="22"/>
              </w:rPr>
              <w:t>£m</w:t>
            </w:r>
          </w:p>
        </w:tc>
      </w:tr>
      <w:tr w:rsidR="00465DBB" w:rsidRPr="006225AE" w:rsidTr="007426D8">
        <w:trPr>
          <w:trHeight w:val="784"/>
        </w:trPr>
        <w:tc>
          <w:tcPr>
            <w:tcW w:w="1949" w:type="dxa"/>
          </w:tcPr>
          <w:p w:rsidR="00465DBB" w:rsidRPr="006225AE" w:rsidRDefault="00465DBB" w:rsidP="007426D8">
            <w:pPr>
              <w:spacing w:after="0"/>
              <w:jc w:val="left"/>
              <w:rPr>
                <w:rFonts w:cs="Arial"/>
                <w:b/>
                <w:sz w:val="22"/>
                <w:szCs w:val="22"/>
              </w:rPr>
            </w:pPr>
            <w:r w:rsidRPr="006225AE">
              <w:rPr>
                <w:rFonts w:cs="Arial"/>
                <w:b/>
                <w:sz w:val="22"/>
                <w:szCs w:val="22"/>
              </w:rPr>
              <w:t>Set</w:t>
            </w:r>
            <w:r w:rsidR="007426D8">
              <w:rPr>
                <w:rFonts w:cs="Arial"/>
                <w:b/>
                <w:sz w:val="22"/>
                <w:szCs w:val="22"/>
              </w:rPr>
              <w:t>tlement Funding Assessment (SFA)</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338.466</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292.249</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258.326</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239.014</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220.747</w:t>
            </w:r>
          </w:p>
        </w:tc>
      </w:tr>
      <w:tr w:rsidR="00465DBB" w:rsidRPr="006225AE" w:rsidTr="007426D8">
        <w:trPr>
          <w:trHeight w:val="551"/>
        </w:trPr>
        <w:tc>
          <w:tcPr>
            <w:tcW w:w="1949" w:type="dxa"/>
            <w:shd w:val="clear" w:color="auto" w:fill="BFBFBF" w:themeFill="background1" w:themeFillShade="BF"/>
            <w:vAlign w:val="center"/>
          </w:tcPr>
          <w:p w:rsidR="00465DBB" w:rsidRPr="006225AE" w:rsidRDefault="00465DBB" w:rsidP="007426D8">
            <w:pPr>
              <w:spacing w:after="0"/>
              <w:jc w:val="left"/>
              <w:rPr>
                <w:rFonts w:cs="Arial"/>
                <w:b/>
                <w:sz w:val="22"/>
                <w:szCs w:val="22"/>
              </w:rPr>
            </w:pPr>
            <w:r w:rsidRPr="006225AE">
              <w:rPr>
                <w:rFonts w:cs="Arial"/>
                <w:b/>
                <w:sz w:val="22"/>
                <w:szCs w:val="22"/>
              </w:rPr>
              <w:t>Funded by:</w:t>
            </w: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r>
      <w:tr w:rsidR="00465DBB" w:rsidRPr="006225AE" w:rsidTr="007426D8">
        <w:trPr>
          <w:trHeight w:val="647"/>
        </w:trPr>
        <w:tc>
          <w:tcPr>
            <w:tcW w:w="1949" w:type="dxa"/>
            <w:vAlign w:val="center"/>
          </w:tcPr>
          <w:p w:rsidR="00465DBB" w:rsidRPr="006225AE" w:rsidRDefault="00465DBB" w:rsidP="007426D8">
            <w:pPr>
              <w:spacing w:after="0"/>
              <w:jc w:val="left"/>
              <w:rPr>
                <w:rFonts w:cs="Arial"/>
                <w:b/>
                <w:sz w:val="22"/>
                <w:szCs w:val="22"/>
              </w:rPr>
            </w:pPr>
            <w:r w:rsidRPr="006225AE">
              <w:rPr>
                <w:rFonts w:cs="Arial"/>
                <w:b/>
                <w:sz w:val="22"/>
                <w:szCs w:val="22"/>
              </w:rPr>
              <w:t>RSG</w:t>
            </w:r>
          </w:p>
        </w:tc>
        <w:tc>
          <w:tcPr>
            <w:tcW w:w="1415" w:type="dxa"/>
            <w:vAlign w:val="center"/>
          </w:tcPr>
          <w:p w:rsidR="00465DBB" w:rsidRPr="006225AE" w:rsidRDefault="00465DBB" w:rsidP="007426D8">
            <w:pPr>
              <w:spacing w:after="0"/>
              <w:jc w:val="center"/>
              <w:rPr>
                <w:rFonts w:cs="Arial"/>
                <w:sz w:val="22"/>
                <w:szCs w:val="22"/>
              </w:rPr>
            </w:pP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118.841</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81.508</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56.979</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32.894</w:t>
            </w:r>
          </w:p>
        </w:tc>
      </w:tr>
      <w:tr w:rsidR="00465DBB" w:rsidRPr="006225AE" w:rsidTr="007426D8">
        <w:trPr>
          <w:trHeight w:val="686"/>
        </w:trPr>
        <w:tc>
          <w:tcPr>
            <w:tcW w:w="1949" w:type="dxa"/>
            <w:vAlign w:val="center"/>
          </w:tcPr>
          <w:p w:rsidR="00465DBB" w:rsidRPr="006225AE" w:rsidRDefault="00465DBB" w:rsidP="007426D8">
            <w:pPr>
              <w:spacing w:after="0"/>
              <w:jc w:val="left"/>
              <w:rPr>
                <w:rFonts w:cs="Arial"/>
                <w:b/>
                <w:sz w:val="22"/>
                <w:szCs w:val="22"/>
              </w:rPr>
            </w:pPr>
            <w:r w:rsidRPr="006225AE">
              <w:rPr>
                <w:rFonts w:cs="Arial"/>
                <w:b/>
                <w:sz w:val="22"/>
                <w:szCs w:val="22"/>
              </w:rPr>
              <w:t>Business Rate baseline</w:t>
            </w:r>
          </w:p>
        </w:tc>
        <w:tc>
          <w:tcPr>
            <w:tcW w:w="1415" w:type="dxa"/>
            <w:vAlign w:val="center"/>
          </w:tcPr>
          <w:p w:rsidR="00465DBB" w:rsidRPr="006225AE" w:rsidRDefault="00465DBB" w:rsidP="007426D8">
            <w:pPr>
              <w:spacing w:after="0"/>
              <w:jc w:val="center"/>
              <w:rPr>
                <w:rFonts w:cs="Arial"/>
                <w:sz w:val="22"/>
                <w:szCs w:val="22"/>
              </w:rPr>
            </w:pP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173.408</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176.818</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182.035</w:t>
            </w:r>
          </w:p>
        </w:tc>
        <w:tc>
          <w:tcPr>
            <w:tcW w:w="1415" w:type="dxa"/>
            <w:vAlign w:val="center"/>
          </w:tcPr>
          <w:p w:rsidR="00465DBB" w:rsidRPr="006225AE" w:rsidRDefault="00465DBB" w:rsidP="007426D8">
            <w:pPr>
              <w:spacing w:after="0"/>
              <w:jc w:val="center"/>
              <w:rPr>
                <w:rFonts w:cs="Arial"/>
                <w:sz w:val="22"/>
                <w:szCs w:val="22"/>
              </w:rPr>
            </w:pPr>
            <w:r w:rsidRPr="006225AE">
              <w:rPr>
                <w:rFonts w:cs="Arial"/>
                <w:sz w:val="22"/>
                <w:szCs w:val="22"/>
              </w:rPr>
              <w:t>187.853</w:t>
            </w:r>
          </w:p>
        </w:tc>
      </w:tr>
      <w:tr w:rsidR="00465DBB" w:rsidRPr="006225AE" w:rsidTr="007426D8">
        <w:trPr>
          <w:trHeight w:val="606"/>
        </w:trPr>
        <w:tc>
          <w:tcPr>
            <w:tcW w:w="1949" w:type="dxa"/>
            <w:shd w:val="clear" w:color="auto" w:fill="BFBFBF" w:themeFill="background1" w:themeFillShade="BF"/>
            <w:vAlign w:val="center"/>
          </w:tcPr>
          <w:p w:rsidR="00465DBB" w:rsidRPr="006225AE" w:rsidRDefault="00465DBB" w:rsidP="007426D8">
            <w:pPr>
              <w:spacing w:after="0"/>
              <w:jc w:val="left"/>
              <w:rPr>
                <w:rFonts w:cs="Arial"/>
                <w:b/>
                <w:sz w:val="22"/>
                <w:szCs w:val="22"/>
              </w:rPr>
            </w:pPr>
            <w:r w:rsidRPr="006225AE">
              <w:rPr>
                <w:rFonts w:cs="Arial"/>
                <w:b/>
                <w:sz w:val="22"/>
                <w:szCs w:val="22"/>
              </w:rPr>
              <w:t>TOTAL</w:t>
            </w:r>
          </w:p>
        </w:tc>
        <w:tc>
          <w:tcPr>
            <w:tcW w:w="1415" w:type="dxa"/>
            <w:shd w:val="clear" w:color="auto" w:fill="BFBFBF" w:themeFill="background1" w:themeFillShade="BF"/>
            <w:vAlign w:val="center"/>
          </w:tcPr>
          <w:p w:rsidR="00465DBB" w:rsidRPr="006225AE" w:rsidRDefault="00465DBB" w:rsidP="007426D8">
            <w:pPr>
              <w:spacing w:after="0"/>
              <w:jc w:val="center"/>
              <w:rPr>
                <w:rFonts w:cs="Arial"/>
                <w:sz w:val="22"/>
                <w:szCs w:val="22"/>
              </w:rPr>
            </w:pPr>
          </w:p>
        </w:tc>
        <w:tc>
          <w:tcPr>
            <w:tcW w:w="1415" w:type="dxa"/>
            <w:shd w:val="clear" w:color="auto" w:fill="BFBFBF" w:themeFill="background1" w:themeFillShade="BF"/>
            <w:vAlign w:val="center"/>
          </w:tcPr>
          <w:p w:rsidR="00465DBB" w:rsidRPr="006225AE" w:rsidRDefault="00465DBB" w:rsidP="007426D8">
            <w:pPr>
              <w:spacing w:after="0"/>
              <w:jc w:val="center"/>
              <w:rPr>
                <w:rFonts w:cs="Arial"/>
                <w:b/>
                <w:sz w:val="22"/>
                <w:szCs w:val="22"/>
              </w:rPr>
            </w:pPr>
            <w:r w:rsidRPr="006225AE">
              <w:rPr>
                <w:rFonts w:cs="Arial"/>
                <w:b/>
                <w:sz w:val="22"/>
                <w:szCs w:val="22"/>
              </w:rPr>
              <w:t>292.249</w:t>
            </w:r>
          </w:p>
        </w:tc>
        <w:tc>
          <w:tcPr>
            <w:tcW w:w="1415" w:type="dxa"/>
            <w:shd w:val="clear" w:color="auto" w:fill="BFBFBF" w:themeFill="background1" w:themeFillShade="BF"/>
            <w:vAlign w:val="center"/>
          </w:tcPr>
          <w:p w:rsidR="00465DBB" w:rsidRPr="006225AE" w:rsidRDefault="00465DBB" w:rsidP="007426D8">
            <w:pPr>
              <w:spacing w:after="0"/>
              <w:jc w:val="center"/>
              <w:rPr>
                <w:rFonts w:cs="Arial"/>
                <w:b/>
                <w:sz w:val="22"/>
                <w:szCs w:val="22"/>
              </w:rPr>
            </w:pPr>
            <w:r w:rsidRPr="006225AE">
              <w:rPr>
                <w:rFonts w:cs="Arial"/>
                <w:b/>
                <w:sz w:val="22"/>
                <w:szCs w:val="22"/>
              </w:rPr>
              <w:t>258.326</w:t>
            </w:r>
          </w:p>
        </w:tc>
        <w:tc>
          <w:tcPr>
            <w:tcW w:w="1415" w:type="dxa"/>
            <w:shd w:val="clear" w:color="auto" w:fill="BFBFBF" w:themeFill="background1" w:themeFillShade="BF"/>
            <w:vAlign w:val="center"/>
          </w:tcPr>
          <w:p w:rsidR="00465DBB" w:rsidRPr="006225AE" w:rsidRDefault="00465DBB" w:rsidP="007426D8">
            <w:pPr>
              <w:spacing w:after="0"/>
              <w:jc w:val="center"/>
              <w:rPr>
                <w:rFonts w:cs="Arial"/>
                <w:b/>
                <w:sz w:val="22"/>
                <w:szCs w:val="22"/>
              </w:rPr>
            </w:pPr>
            <w:r w:rsidRPr="006225AE">
              <w:rPr>
                <w:rFonts w:cs="Arial"/>
                <w:b/>
                <w:sz w:val="22"/>
                <w:szCs w:val="22"/>
              </w:rPr>
              <w:t>239.014</w:t>
            </w:r>
          </w:p>
        </w:tc>
        <w:tc>
          <w:tcPr>
            <w:tcW w:w="1415" w:type="dxa"/>
            <w:shd w:val="clear" w:color="auto" w:fill="BFBFBF" w:themeFill="background1" w:themeFillShade="BF"/>
            <w:vAlign w:val="center"/>
          </w:tcPr>
          <w:p w:rsidR="00465DBB" w:rsidRPr="006225AE" w:rsidRDefault="00465DBB" w:rsidP="007426D8">
            <w:pPr>
              <w:spacing w:after="0"/>
              <w:jc w:val="center"/>
              <w:rPr>
                <w:rFonts w:cs="Arial"/>
                <w:b/>
                <w:sz w:val="22"/>
                <w:szCs w:val="22"/>
              </w:rPr>
            </w:pPr>
            <w:r w:rsidRPr="006225AE">
              <w:rPr>
                <w:rFonts w:cs="Arial"/>
                <w:b/>
                <w:sz w:val="22"/>
                <w:szCs w:val="22"/>
              </w:rPr>
              <w:t>220.747</w:t>
            </w:r>
          </w:p>
        </w:tc>
      </w:tr>
      <w:tr w:rsidR="00465DBB" w:rsidRPr="006225AE" w:rsidTr="007426D8">
        <w:trPr>
          <w:trHeight w:val="684"/>
        </w:trPr>
        <w:tc>
          <w:tcPr>
            <w:tcW w:w="1949" w:type="dxa"/>
            <w:shd w:val="clear" w:color="auto" w:fill="auto"/>
            <w:vAlign w:val="center"/>
          </w:tcPr>
          <w:p w:rsidR="00465DBB" w:rsidRPr="006225AE" w:rsidRDefault="00465DBB" w:rsidP="007426D8">
            <w:pPr>
              <w:spacing w:after="0"/>
              <w:jc w:val="left"/>
              <w:rPr>
                <w:rFonts w:cs="Arial"/>
                <w:b/>
                <w:sz w:val="22"/>
                <w:szCs w:val="22"/>
              </w:rPr>
            </w:pPr>
            <w:r w:rsidRPr="006225AE">
              <w:rPr>
                <w:rFonts w:cs="Arial"/>
                <w:b/>
                <w:sz w:val="22"/>
                <w:szCs w:val="22"/>
              </w:rPr>
              <w:t>In year reduction of SFA</w:t>
            </w:r>
          </w:p>
        </w:tc>
        <w:tc>
          <w:tcPr>
            <w:tcW w:w="1415" w:type="dxa"/>
            <w:shd w:val="clear" w:color="auto" w:fill="auto"/>
            <w:vAlign w:val="center"/>
          </w:tcPr>
          <w:p w:rsidR="00465DBB" w:rsidRPr="006225AE" w:rsidRDefault="00465DBB" w:rsidP="007426D8">
            <w:pPr>
              <w:spacing w:after="0"/>
              <w:jc w:val="center"/>
              <w:rPr>
                <w:rFonts w:cs="Arial"/>
                <w:sz w:val="22"/>
                <w:szCs w:val="22"/>
              </w:rPr>
            </w:pPr>
          </w:p>
        </w:tc>
        <w:tc>
          <w:tcPr>
            <w:tcW w:w="1415" w:type="dxa"/>
            <w:shd w:val="clear" w:color="auto" w:fill="auto"/>
            <w:vAlign w:val="center"/>
          </w:tcPr>
          <w:p w:rsidR="00465DBB" w:rsidRPr="006225AE" w:rsidRDefault="00465DBB" w:rsidP="007426D8">
            <w:pPr>
              <w:spacing w:after="0"/>
              <w:jc w:val="center"/>
              <w:rPr>
                <w:rFonts w:cs="Arial"/>
                <w:b/>
                <w:sz w:val="22"/>
                <w:szCs w:val="22"/>
              </w:rPr>
            </w:pPr>
            <w:r w:rsidRPr="006225AE">
              <w:rPr>
                <w:rFonts w:cs="Arial"/>
                <w:b/>
                <w:sz w:val="22"/>
                <w:szCs w:val="22"/>
              </w:rPr>
              <w:t>-46.217</w:t>
            </w:r>
          </w:p>
        </w:tc>
        <w:tc>
          <w:tcPr>
            <w:tcW w:w="1415" w:type="dxa"/>
            <w:shd w:val="clear" w:color="auto" w:fill="auto"/>
            <w:vAlign w:val="center"/>
          </w:tcPr>
          <w:p w:rsidR="00465DBB" w:rsidRPr="006225AE" w:rsidRDefault="00465DBB" w:rsidP="007426D8">
            <w:pPr>
              <w:spacing w:after="0"/>
              <w:jc w:val="center"/>
              <w:rPr>
                <w:rFonts w:cs="Arial"/>
                <w:b/>
                <w:sz w:val="22"/>
                <w:szCs w:val="22"/>
              </w:rPr>
            </w:pPr>
            <w:r w:rsidRPr="006225AE">
              <w:rPr>
                <w:rFonts w:cs="Arial"/>
                <w:b/>
                <w:sz w:val="22"/>
                <w:szCs w:val="22"/>
              </w:rPr>
              <w:t>-33.923</w:t>
            </w:r>
          </w:p>
        </w:tc>
        <w:tc>
          <w:tcPr>
            <w:tcW w:w="1415" w:type="dxa"/>
            <w:shd w:val="clear" w:color="auto" w:fill="auto"/>
            <w:vAlign w:val="center"/>
          </w:tcPr>
          <w:p w:rsidR="00465DBB" w:rsidRPr="006225AE" w:rsidRDefault="00465DBB" w:rsidP="007426D8">
            <w:pPr>
              <w:spacing w:after="0"/>
              <w:jc w:val="center"/>
              <w:rPr>
                <w:rFonts w:cs="Arial"/>
                <w:b/>
                <w:sz w:val="22"/>
                <w:szCs w:val="22"/>
              </w:rPr>
            </w:pPr>
            <w:r w:rsidRPr="006225AE">
              <w:rPr>
                <w:rFonts w:cs="Arial"/>
                <w:b/>
                <w:sz w:val="22"/>
                <w:szCs w:val="22"/>
              </w:rPr>
              <w:t>-19.312</w:t>
            </w:r>
          </w:p>
        </w:tc>
        <w:tc>
          <w:tcPr>
            <w:tcW w:w="1415" w:type="dxa"/>
            <w:shd w:val="clear" w:color="auto" w:fill="auto"/>
            <w:vAlign w:val="center"/>
          </w:tcPr>
          <w:p w:rsidR="00465DBB" w:rsidRPr="006225AE" w:rsidRDefault="00465DBB" w:rsidP="007426D8">
            <w:pPr>
              <w:spacing w:after="0"/>
              <w:jc w:val="center"/>
              <w:rPr>
                <w:rFonts w:cs="Arial"/>
                <w:b/>
                <w:sz w:val="22"/>
                <w:szCs w:val="22"/>
              </w:rPr>
            </w:pPr>
            <w:r w:rsidRPr="006225AE">
              <w:rPr>
                <w:rFonts w:cs="Arial"/>
                <w:b/>
                <w:sz w:val="22"/>
                <w:szCs w:val="22"/>
              </w:rPr>
              <w:t>-18.267</w:t>
            </w:r>
          </w:p>
        </w:tc>
      </w:tr>
    </w:tbl>
    <w:p w:rsidR="007426D8" w:rsidRDefault="00522F1E" w:rsidP="00E7457D">
      <w:pPr>
        <w:tabs>
          <w:tab w:val="left" w:pos="567"/>
          <w:tab w:val="left" w:pos="1134"/>
        </w:tabs>
        <w:spacing w:after="0"/>
        <w:rPr>
          <w:rFonts w:cs="Arial"/>
        </w:rPr>
      </w:pPr>
      <w:r w:rsidRPr="008D5D96">
        <w:rPr>
          <w:rFonts w:cs="Arial"/>
          <w:b/>
        </w:rPr>
        <w:t xml:space="preserve"> </w:t>
      </w:r>
    </w:p>
    <w:p w:rsidR="006E0BEE" w:rsidRDefault="008B2454" w:rsidP="008D5D96">
      <w:pPr>
        <w:tabs>
          <w:tab w:val="left" w:pos="567"/>
          <w:tab w:val="left" w:pos="1134"/>
        </w:tabs>
        <w:spacing w:after="0"/>
        <w:rPr>
          <w:rFonts w:cs="Arial"/>
        </w:rPr>
      </w:pPr>
      <w:r>
        <w:rPr>
          <w:rFonts w:cs="Arial"/>
        </w:rPr>
        <w:t>A comparison of the SFA in the November MTFS with the settlement S</w:t>
      </w:r>
      <w:r w:rsidR="007426D8">
        <w:rPr>
          <w:rFonts w:cs="Arial"/>
        </w:rPr>
        <w:t>FA is shown in the table below:</w:t>
      </w:r>
    </w:p>
    <w:p w:rsidR="008B2454" w:rsidRDefault="008B2454" w:rsidP="008D5D96">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1572"/>
        <w:gridCol w:w="1861"/>
        <w:gridCol w:w="1861"/>
        <w:gridCol w:w="1861"/>
        <w:gridCol w:w="1861"/>
      </w:tblGrid>
      <w:tr w:rsidR="0098497E" w:rsidRPr="007426D8" w:rsidTr="007426D8">
        <w:trPr>
          <w:trHeight w:val="583"/>
        </w:trPr>
        <w:tc>
          <w:tcPr>
            <w:tcW w:w="1572" w:type="dxa"/>
            <w:shd w:val="clear" w:color="auto" w:fill="BFBFBF" w:themeFill="background1" w:themeFillShade="BF"/>
            <w:vAlign w:val="center"/>
          </w:tcPr>
          <w:p w:rsidR="0098497E" w:rsidRPr="007426D8" w:rsidRDefault="0098497E" w:rsidP="008D5D96">
            <w:pPr>
              <w:tabs>
                <w:tab w:val="left" w:pos="567"/>
                <w:tab w:val="left" w:pos="1134"/>
              </w:tabs>
              <w:spacing w:after="0"/>
              <w:rPr>
                <w:rFonts w:cs="Arial"/>
                <w:sz w:val="22"/>
                <w:szCs w:val="22"/>
              </w:rPr>
            </w:pPr>
          </w:p>
        </w:tc>
        <w:tc>
          <w:tcPr>
            <w:tcW w:w="1861" w:type="dxa"/>
            <w:shd w:val="clear" w:color="auto" w:fill="BFBFBF" w:themeFill="background1" w:themeFillShade="BF"/>
            <w:vAlign w:val="center"/>
          </w:tcPr>
          <w:p w:rsidR="0098497E" w:rsidRDefault="0098497E" w:rsidP="0098497E">
            <w:pPr>
              <w:tabs>
                <w:tab w:val="left" w:pos="567"/>
                <w:tab w:val="left" w:pos="1134"/>
              </w:tabs>
              <w:spacing w:after="0"/>
              <w:jc w:val="center"/>
              <w:rPr>
                <w:rFonts w:cs="Arial"/>
                <w:b/>
                <w:sz w:val="22"/>
                <w:szCs w:val="22"/>
              </w:rPr>
            </w:pPr>
            <w:r w:rsidRPr="007426D8">
              <w:rPr>
                <w:rFonts w:cs="Arial"/>
                <w:b/>
                <w:sz w:val="22"/>
                <w:szCs w:val="22"/>
              </w:rPr>
              <w:t>2016/17</w:t>
            </w:r>
          </w:p>
          <w:p w:rsidR="007426D8" w:rsidRPr="007426D8" w:rsidRDefault="007426D8" w:rsidP="0098497E">
            <w:pPr>
              <w:tabs>
                <w:tab w:val="left" w:pos="567"/>
                <w:tab w:val="left" w:pos="1134"/>
              </w:tabs>
              <w:spacing w:after="0"/>
              <w:jc w:val="center"/>
              <w:rPr>
                <w:rFonts w:cs="Arial"/>
                <w:b/>
                <w:sz w:val="22"/>
                <w:szCs w:val="22"/>
              </w:rPr>
            </w:pPr>
            <w:r>
              <w:rPr>
                <w:rFonts w:cs="Arial"/>
                <w:b/>
                <w:sz w:val="22"/>
                <w:szCs w:val="22"/>
              </w:rPr>
              <w:t>£m</w:t>
            </w:r>
          </w:p>
        </w:tc>
        <w:tc>
          <w:tcPr>
            <w:tcW w:w="1861" w:type="dxa"/>
            <w:shd w:val="clear" w:color="auto" w:fill="BFBFBF" w:themeFill="background1" w:themeFillShade="BF"/>
            <w:vAlign w:val="center"/>
          </w:tcPr>
          <w:p w:rsidR="0098497E" w:rsidRDefault="0098497E" w:rsidP="0098497E">
            <w:pPr>
              <w:tabs>
                <w:tab w:val="left" w:pos="567"/>
                <w:tab w:val="left" w:pos="1134"/>
              </w:tabs>
              <w:spacing w:after="0"/>
              <w:jc w:val="center"/>
              <w:rPr>
                <w:rFonts w:cs="Arial"/>
                <w:b/>
                <w:sz w:val="22"/>
                <w:szCs w:val="22"/>
              </w:rPr>
            </w:pPr>
            <w:r w:rsidRPr="007426D8">
              <w:rPr>
                <w:rFonts w:cs="Arial"/>
                <w:b/>
                <w:sz w:val="22"/>
                <w:szCs w:val="22"/>
              </w:rPr>
              <w:t>2017/18</w:t>
            </w:r>
          </w:p>
          <w:p w:rsidR="007426D8" w:rsidRPr="007426D8" w:rsidRDefault="007426D8" w:rsidP="0098497E">
            <w:pPr>
              <w:tabs>
                <w:tab w:val="left" w:pos="567"/>
                <w:tab w:val="left" w:pos="1134"/>
              </w:tabs>
              <w:spacing w:after="0"/>
              <w:jc w:val="center"/>
              <w:rPr>
                <w:rFonts w:cs="Arial"/>
                <w:b/>
                <w:sz w:val="22"/>
                <w:szCs w:val="22"/>
              </w:rPr>
            </w:pPr>
            <w:r>
              <w:rPr>
                <w:rFonts w:cs="Arial"/>
                <w:b/>
                <w:sz w:val="22"/>
                <w:szCs w:val="22"/>
              </w:rPr>
              <w:t>£m</w:t>
            </w:r>
          </w:p>
        </w:tc>
        <w:tc>
          <w:tcPr>
            <w:tcW w:w="1861" w:type="dxa"/>
            <w:shd w:val="clear" w:color="auto" w:fill="BFBFBF" w:themeFill="background1" w:themeFillShade="BF"/>
            <w:vAlign w:val="center"/>
          </w:tcPr>
          <w:p w:rsidR="0098497E" w:rsidRDefault="0098497E" w:rsidP="0098497E">
            <w:pPr>
              <w:tabs>
                <w:tab w:val="left" w:pos="567"/>
                <w:tab w:val="left" w:pos="1134"/>
              </w:tabs>
              <w:spacing w:after="0"/>
              <w:jc w:val="center"/>
              <w:rPr>
                <w:rFonts w:cs="Arial"/>
                <w:b/>
                <w:sz w:val="22"/>
                <w:szCs w:val="22"/>
              </w:rPr>
            </w:pPr>
            <w:r w:rsidRPr="007426D8">
              <w:rPr>
                <w:rFonts w:cs="Arial"/>
                <w:b/>
                <w:sz w:val="22"/>
                <w:szCs w:val="22"/>
              </w:rPr>
              <w:t>2018/19</w:t>
            </w:r>
          </w:p>
          <w:p w:rsidR="007426D8" w:rsidRPr="007426D8" w:rsidRDefault="007426D8" w:rsidP="0098497E">
            <w:pPr>
              <w:tabs>
                <w:tab w:val="left" w:pos="567"/>
                <w:tab w:val="left" w:pos="1134"/>
              </w:tabs>
              <w:spacing w:after="0"/>
              <w:jc w:val="center"/>
              <w:rPr>
                <w:rFonts w:cs="Arial"/>
                <w:b/>
                <w:sz w:val="22"/>
                <w:szCs w:val="22"/>
              </w:rPr>
            </w:pPr>
            <w:r>
              <w:rPr>
                <w:rFonts w:cs="Arial"/>
                <w:b/>
                <w:sz w:val="22"/>
                <w:szCs w:val="22"/>
              </w:rPr>
              <w:t>£m</w:t>
            </w:r>
          </w:p>
        </w:tc>
        <w:tc>
          <w:tcPr>
            <w:tcW w:w="1861" w:type="dxa"/>
            <w:shd w:val="clear" w:color="auto" w:fill="BFBFBF" w:themeFill="background1" w:themeFillShade="BF"/>
            <w:vAlign w:val="center"/>
          </w:tcPr>
          <w:p w:rsidR="0098497E" w:rsidRDefault="0098497E" w:rsidP="0098497E">
            <w:pPr>
              <w:tabs>
                <w:tab w:val="left" w:pos="567"/>
                <w:tab w:val="left" w:pos="1134"/>
              </w:tabs>
              <w:spacing w:after="0"/>
              <w:jc w:val="center"/>
              <w:rPr>
                <w:rFonts w:cs="Arial"/>
                <w:b/>
                <w:sz w:val="22"/>
                <w:szCs w:val="22"/>
              </w:rPr>
            </w:pPr>
            <w:r w:rsidRPr="007426D8">
              <w:rPr>
                <w:rFonts w:cs="Arial"/>
                <w:b/>
                <w:sz w:val="22"/>
                <w:szCs w:val="22"/>
              </w:rPr>
              <w:t>2019/20</w:t>
            </w:r>
          </w:p>
          <w:p w:rsidR="007426D8" w:rsidRPr="007426D8" w:rsidRDefault="007426D8" w:rsidP="0098497E">
            <w:pPr>
              <w:tabs>
                <w:tab w:val="left" w:pos="567"/>
                <w:tab w:val="left" w:pos="1134"/>
              </w:tabs>
              <w:spacing w:after="0"/>
              <w:jc w:val="center"/>
              <w:rPr>
                <w:rFonts w:cs="Arial"/>
                <w:b/>
                <w:sz w:val="22"/>
                <w:szCs w:val="22"/>
              </w:rPr>
            </w:pPr>
            <w:r>
              <w:rPr>
                <w:rFonts w:cs="Arial"/>
                <w:b/>
                <w:sz w:val="22"/>
                <w:szCs w:val="22"/>
              </w:rPr>
              <w:t>£m</w:t>
            </w:r>
          </w:p>
        </w:tc>
      </w:tr>
      <w:tr w:rsidR="0098497E" w:rsidRPr="007426D8" w:rsidTr="00E57F56">
        <w:trPr>
          <w:trHeight w:val="734"/>
        </w:trPr>
        <w:tc>
          <w:tcPr>
            <w:tcW w:w="1572" w:type="dxa"/>
            <w:vAlign w:val="center"/>
          </w:tcPr>
          <w:p w:rsidR="0098497E" w:rsidRPr="007426D8" w:rsidRDefault="0098497E" w:rsidP="008D5D96">
            <w:pPr>
              <w:tabs>
                <w:tab w:val="left" w:pos="567"/>
                <w:tab w:val="left" w:pos="1134"/>
              </w:tabs>
              <w:spacing w:after="0"/>
              <w:rPr>
                <w:rFonts w:cs="Arial"/>
                <w:b/>
                <w:sz w:val="22"/>
                <w:szCs w:val="22"/>
              </w:rPr>
            </w:pPr>
            <w:r w:rsidRPr="007426D8">
              <w:rPr>
                <w:rFonts w:cs="Arial"/>
                <w:b/>
                <w:sz w:val="22"/>
                <w:szCs w:val="22"/>
              </w:rPr>
              <w:t>November MTFS SFA</w:t>
            </w:r>
          </w:p>
        </w:tc>
        <w:tc>
          <w:tcPr>
            <w:tcW w:w="1861" w:type="dxa"/>
            <w:vAlign w:val="center"/>
          </w:tcPr>
          <w:p w:rsidR="0098497E" w:rsidRPr="007426D8" w:rsidRDefault="006461DC" w:rsidP="006461DC">
            <w:pPr>
              <w:tabs>
                <w:tab w:val="left" w:pos="567"/>
                <w:tab w:val="left" w:pos="1134"/>
              </w:tabs>
              <w:spacing w:after="0"/>
              <w:jc w:val="center"/>
              <w:rPr>
                <w:rFonts w:cs="Arial"/>
                <w:sz w:val="22"/>
                <w:szCs w:val="22"/>
              </w:rPr>
            </w:pPr>
            <w:r w:rsidRPr="007426D8">
              <w:rPr>
                <w:rFonts w:cs="Arial"/>
                <w:sz w:val="22"/>
                <w:szCs w:val="22"/>
              </w:rPr>
              <w:t>307.111</w:t>
            </w:r>
          </w:p>
        </w:tc>
        <w:tc>
          <w:tcPr>
            <w:tcW w:w="1861" w:type="dxa"/>
            <w:vAlign w:val="center"/>
          </w:tcPr>
          <w:p w:rsidR="0098497E" w:rsidRPr="007426D8" w:rsidRDefault="006461DC" w:rsidP="006461DC">
            <w:pPr>
              <w:tabs>
                <w:tab w:val="left" w:pos="567"/>
                <w:tab w:val="left" w:pos="1134"/>
              </w:tabs>
              <w:spacing w:after="0"/>
              <w:jc w:val="center"/>
              <w:rPr>
                <w:rFonts w:cs="Arial"/>
                <w:sz w:val="22"/>
                <w:szCs w:val="22"/>
              </w:rPr>
            </w:pPr>
            <w:r w:rsidRPr="007426D8">
              <w:rPr>
                <w:rFonts w:cs="Arial"/>
                <w:sz w:val="22"/>
                <w:szCs w:val="22"/>
              </w:rPr>
              <w:t>285.613</w:t>
            </w:r>
          </w:p>
        </w:tc>
        <w:tc>
          <w:tcPr>
            <w:tcW w:w="1861" w:type="dxa"/>
            <w:vAlign w:val="center"/>
          </w:tcPr>
          <w:p w:rsidR="0098497E" w:rsidRPr="007426D8" w:rsidRDefault="006461DC" w:rsidP="006461DC">
            <w:pPr>
              <w:tabs>
                <w:tab w:val="left" w:pos="567"/>
                <w:tab w:val="left" w:pos="1134"/>
              </w:tabs>
              <w:spacing w:after="0"/>
              <w:jc w:val="center"/>
              <w:rPr>
                <w:rFonts w:cs="Arial"/>
                <w:sz w:val="22"/>
                <w:szCs w:val="22"/>
              </w:rPr>
            </w:pPr>
            <w:r w:rsidRPr="007426D8">
              <w:rPr>
                <w:rFonts w:cs="Arial"/>
                <w:sz w:val="22"/>
                <w:szCs w:val="22"/>
              </w:rPr>
              <w:t>268.476</w:t>
            </w:r>
          </w:p>
        </w:tc>
        <w:tc>
          <w:tcPr>
            <w:tcW w:w="1861" w:type="dxa"/>
            <w:vAlign w:val="center"/>
          </w:tcPr>
          <w:p w:rsidR="0098497E" w:rsidRPr="007426D8" w:rsidRDefault="006461DC" w:rsidP="006461DC">
            <w:pPr>
              <w:tabs>
                <w:tab w:val="left" w:pos="567"/>
                <w:tab w:val="left" w:pos="1134"/>
              </w:tabs>
              <w:spacing w:after="0"/>
              <w:jc w:val="center"/>
              <w:rPr>
                <w:rFonts w:cs="Arial"/>
                <w:sz w:val="22"/>
                <w:szCs w:val="22"/>
              </w:rPr>
            </w:pPr>
            <w:r w:rsidRPr="007426D8">
              <w:rPr>
                <w:rFonts w:cs="Arial"/>
                <w:sz w:val="22"/>
                <w:szCs w:val="22"/>
              </w:rPr>
              <w:t>263.107</w:t>
            </w:r>
          </w:p>
        </w:tc>
      </w:tr>
      <w:tr w:rsidR="0098497E" w:rsidRPr="007426D8" w:rsidTr="00E57F56">
        <w:trPr>
          <w:trHeight w:val="728"/>
        </w:trPr>
        <w:tc>
          <w:tcPr>
            <w:tcW w:w="1572" w:type="dxa"/>
            <w:vAlign w:val="center"/>
          </w:tcPr>
          <w:p w:rsidR="0098497E" w:rsidRPr="007426D8" w:rsidRDefault="0098497E" w:rsidP="00E57F56">
            <w:pPr>
              <w:tabs>
                <w:tab w:val="left" w:pos="567"/>
                <w:tab w:val="left" w:pos="1134"/>
              </w:tabs>
              <w:spacing w:after="0"/>
              <w:rPr>
                <w:rFonts w:cs="Arial"/>
                <w:b/>
                <w:sz w:val="22"/>
                <w:szCs w:val="22"/>
              </w:rPr>
            </w:pPr>
            <w:r w:rsidRPr="007426D8">
              <w:rPr>
                <w:rFonts w:cs="Arial"/>
                <w:b/>
                <w:sz w:val="22"/>
                <w:szCs w:val="22"/>
              </w:rPr>
              <w:t>Settlement SFA</w:t>
            </w:r>
          </w:p>
        </w:tc>
        <w:tc>
          <w:tcPr>
            <w:tcW w:w="1861" w:type="dxa"/>
            <w:vAlign w:val="center"/>
          </w:tcPr>
          <w:p w:rsidR="0098497E" w:rsidRPr="007426D8" w:rsidRDefault="0098497E" w:rsidP="00E57F56">
            <w:pPr>
              <w:jc w:val="center"/>
              <w:rPr>
                <w:rFonts w:cs="Arial"/>
                <w:sz w:val="22"/>
                <w:szCs w:val="22"/>
              </w:rPr>
            </w:pPr>
            <w:r w:rsidRPr="007426D8">
              <w:rPr>
                <w:rFonts w:cs="Arial"/>
                <w:sz w:val="22"/>
                <w:szCs w:val="22"/>
              </w:rPr>
              <w:t>292.249</w:t>
            </w:r>
          </w:p>
        </w:tc>
        <w:tc>
          <w:tcPr>
            <w:tcW w:w="1861" w:type="dxa"/>
            <w:vAlign w:val="center"/>
          </w:tcPr>
          <w:p w:rsidR="0098497E" w:rsidRPr="007426D8" w:rsidRDefault="0098497E" w:rsidP="00E57F56">
            <w:pPr>
              <w:jc w:val="center"/>
              <w:rPr>
                <w:rFonts w:cs="Arial"/>
                <w:sz w:val="22"/>
                <w:szCs w:val="22"/>
              </w:rPr>
            </w:pPr>
            <w:r w:rsidRPr="007426D8">
              <w:rPr>
                <w:rFonts w:cs="Arial"/>
                <w:sz w:val="22"/>
                <w:szCs w:val="22"/>
              </w:rPr>
              <w:t>258.326</w:t>
            </w:r>
          </w:p>
        </w:tc>
        <w:tc>
          <w:tcPr>
            <w:tcW w:w="1861" w:type="dxa"/>
            <w:vAlign w:val="center"/>
          </w:tcPr>
          <w:p w:rsidR="0098497E" w:rsidRPr="007426D8" w:rsidRDefault="0098497E" w:rsidP="00E57F56">
            <w:pPr>
              <w:jc w:val="center"/>
              <w:rPr>
                <w:rFonts w:cs="Arial"/>
                <w:sz w:val="22"/>
                <w:szCs w:val="22"/>
              </w:rPr>
            </w:pPr>
            <w:r w:rsidRPr="007426D8">
              <w:rPr>
                <w:rFonts w:cs="Arial"/>
                <w:sz w:val="22"/>
                <w:szCs w:val="22"/>
              </w:rPr>
              <w:t>239.014</w:t>
            </w:r>
          </w:p>
        </w:tc>
        <w:tc>
          <w:tcPr>
            <w:tcW w:w="1861" w:type="dxa"/>
            <w:vAlign w:val="center"/>
          </w:tcPr>
          <w:p w:rsidR="0098497E" w:rsidRPr="007426D8" w:rsidRDefault="0098497E" w:rsidP="00E57F56">
            <w:pPr>
              <w:jc w:val="center"/>
              <w:rPr>
                <w:rFonts w:cs="Arial"/>
                <w:sz w:val="22"/>
                <w:szCs w:val="22"/>
              </w:rPr>
            </w:pPr>
            <w:r w:rsidRPr="007426D8">
              <w:rPr>
                <w:rFonts w:cs="Arial"/>
                <w:sz w:val="22"/>
                <w:szCs w:val="22"/>
              </w:rPr>
              <w:t>220.747</w:t>
            </w:r>
          </w:p>
        </w:tc>
      </w:tr>
      <w:tr w:rsidR="0098497E" w:rsidRPr="007426D8" w:rsidTr="00B86F4F">
        <w:trPr>
          <w:trHeight w:val="613"/>
        </w:trPr>
        <w:tc>
          <w:tcPr>
            <w:tcW w:w="1572" w:type="dxa"/>
            <w:shd w:val="clear" w:color="auto" w:fill="BFBFBF" w:themeFill="background1" w:themeFillShade="BF"/>
            <w:vAlign w:val="center"/>
          </w:tcPr>
          <w:p w:rsidR="0098497E" w:rsidRPr="007426D8" w:rsidRDefault="0098497E" w:rsidP="0098497E">
            <w:pPr>
              <w:tabs>
                <w:tab w:val="left" w:pos="567"/>
                <w:tab w:val="left" w:pos="1134"/>
              </w:tabs>
              <w:spacing w:after="0"/>
              <w:rPr>
                <w:rFonts w:cs="Arial"/>
                <w:b/>
                <w:sz w:val="22"/>
                <w:szCs w:val="22"/>
              </w:rPr>
            </w:pPr>
            <w:r w:rsidRPr="007426D8">
              <w:rPr>
                <w:rFonts w:cs="Arial"/>
                <w:b/>
                <w:sz w:val="22"/>
                <w:szCs w:val="22"/>
              </w:rPr>
              <w:t>Variation</w:t>
            </w:r>
          </w:p>
        </w:tc>
        <w:tc>
          <w:tcPr>
            <w:tcW w:w="1861" w:type="dxa"/>
            <w:shd w:val="clear" w:color="auto" w:fill="BFBFBF" w:themeFill="background1" w:themeFillShade="BF"/>
            <w:vAlign w:val="center"/>
          </w:tcPr>
          <w:p w:rsidR="0098497E" w:rsidRPr="00396E00" w:rsidRDefault="006461DC" w:rsidP="006461DC">
            <w:pPr>
              <w:jc w:val="center"/>
              <w:rPr>
                <w:rFonts w:cs="Arial"/>
                <w:b/>
                <w:sz w:val="22"/>
                <w:szCs w:val="22"/>
              </w:rPr>
            </w:pPr>
            <w:r w:rsidRPr="00396E00">
              <w:rPr>
                <w:rFonts w:cs="Arial"/>
                <w:b/>
                <w:sz w:val="22"/>
                <w:szCs w:val="22"/>
              </w:rPr>
              <w:t>-14.862</w:t>
            </w:r>
          </w:p>
        </w:tc>
        <w:tc>
          <w:tcPr>
            <w:tcW w:w="1861" w:type="dxa"/>
            <w:shd w:val="clear" w:color="auto" w:fill="BFBFBF" w:themeFill="background1" w:themeFillShade="BF"/>
            <w:vAlign w:val="center"/>
          </w:tcPr>
          <w:p w:rsidR="0098497E" w:rsidRPr="00396E00" w:rsidRDefault="006461DC" w:rsidP="006461DC">
            <w:pPr>
              <w:jc w:val="center"/>
              <w:rPr>
                <w:rFonts w:cs="Arial"/>
                <w:b/>
                <w:sz w:val="22"/>
                <w:szCs w:val="22"/>
              </w:rPr>
            </w:pPr>
            <w:r w:rsidRPr="00396E00">
              <w:rPr>
                <w:rFonts w:cs="Arial"/>
                <w:b/>
                <w:sz w:val="22"/>
                <w:szCs w:val="22"/>
              </w:rPr>
              <w:t>-27.287</w:t>
            </w:r>
          </w:p>
        </w:tc>
        <w:tc>
          <w:tcPr>
            <w:tcW w:w="1861" w:type="dxa"/>
            <w:shd w:val="clear" w:color="auto" w:fill="BFBFBF" w:themeFill="background1" w:themeFillShade="BF"/>
            <w:vAlign w:val="center"/>
          </w:tcPr>
          <w:p w:rsidR="0098497E" w:rsidRPr="00396E00" w:rsidRDefault="006461DC" w:rsidP="006461DC">
            <w:pPr>
              <w:jc w:val="center"/>
              <w:rPr>
                <w:rFonts w:cs="Arial"/>
                <w:b/>
                <w:sz w:val="22"/>
                <w:szCs w:val="22"/>
              </w:rPr>
            </w:pPr>
            <w:r w:rsidRPr="00396E00">
              <w:rPr>
                <w:rFonts w:cs="Arial"/>
                <w:b/>
                <w:sz w:val="22"/>
                <w:szCs w:val="22"/>
              </w:rPr>
              <w:t>-29.462</w:t>
            </w:r>
          </w:p>
        </w:tc>
        <w:tc>
          <w:tcPr>
            <w:tcW w:w="1861" w:type="dxa"/>
            <w:shd w:val="clear" w:color="auto" w:fill="BFBFBF" w:themeFill="background1" w:themeFillShade="BF"/>
            <w:vAlign w:val="center"/>
          </w:tcPr>
          <w:p w:rsidR="0098497E" w:rsidRPr="00396E00" w:rsidRDefault="006461DC" w:rsidP="006461DC">
            <w:pPr>
              <w:jc w:val="center"/>
              <w:rPr>
                <w:rFonts w:cs="Arial"/>
                <w:b/>
                <w:sz w:val="22"/>
                <w:szCs w:val="22"/>
              </w:rPr>
            </w:pPr>
            <w:r w:rsidRPr="00396E00">
              <w:rPr>
                <w:rFonts w:cs="Arial"/>
                <w:b/>
                <w:sz w:val="22"/>
                <w:szCs w:val="22"/>
              </w:rPr>
              <w:t>-42.360</w:t>
            </w:r>
          </w:p>
        </w:tc>
      </w:tr>
    </w:tbl>
    <w:p w:rsidR="008B2454" w:rsidRDefault="008B2454" w:rsidP="008D5D96">
      <w:pPr>
        <w:tabs>
          <w:tab w:val="left" w:pos="567"/>
          <w:tab w:val="left" w:pos="1134"/>
        </w:tabs>
        <w:spacing w:after="0"/>
        <w:rPr>
          <w:rFonts w:cs="Arial"/>
        </w:rPr>
      </w:pPr>
    </w:p>
    <w:p w:rsidR="00932C3B" w:rsidRPr="00472F78" w:rsidRDefault="006E0BEE" w:rsidP="008D5D96">
      <w:pPr>
        <w:tabs>
          <w:tab w:val="left" w:pos="567"/>
          <w:tab w:val="left" w:pos="1134"/>
        </w:tabs>
        <w:spacing w:after="0"/>
        <w:rPr>
          <w:rFonts w:cs="Arial"/>
          <w:b/>
        </w:rPr>
      </w:pPr>
      <w:r w:rsidRPr="00472F78">
        <w:rPr>
          <w:rFonts w:cs="Arial"/>
          <w:b/>
        </w:rPr>
        <w:t>2.</w:t>
      </w:r>
      <w:r w:rsidR="00757FB9" w:rsidRPr="00472F78">
        <w:rPr>
          <w:rFonts w:cs="Arial"/>
          <w:b/>
        </w:rPr>
        <w:t xml:space="preserve">3 </w:t>
      </w:r>
      <w:r w:rsidR="00CE42AC" w:rsidRPr="00472F78">
        <w:rPr>
          <w:rFonts w:cs="Arial"/>
          <w:b/>
        </w:rPr>
        <w:t>I</w:t>
      </w:r>
      <w:r w:rsidR="00932C3B" w:rsidRPr="00472F78">
        <w:rPr>
          <w:rFonts w:cs="Arial"/>
          <w:b/>
        </w:rPr>
        <w:t>mpact on</w:t>
      </w:r>
      <w:r w:rsidR="009A2CC4" w:rsidRPr="00472F78">
        <w:rPr>
          <w:rFonts w:cs="Arial"/>
          <w:b/>
        </w:rPr>
        <w:t xml:space="preserve"> the</w:t>
      </w:r>
      <w:r w:rsidR="00932C3B" w:rsidRPr="00472F78">
        <w:rPr>
          <w:rFonts w:cs="Arial"/>
          <w:b/>
        </w:rPr>
        <w:t xml:space="preserve"> M</w:t>
      </w:r>
      <w:r w:rsidR="00CB1C1E" w:rsidRPr="00472F78">
        <w:rPr>
          <w:rFonts w:cs="Arial"/>
          <w:b/>
        </w:rPr>
        <w:t xml:space="preserve">edium </w:t>
      </w:r>
      <w:r w:rsidR="00932C3B" w:rsidRPr="00472F78">
        <w:rPr>
          <w:rFonts w:cs="Arial"/>
          <w:b/>
        </w:rPr>
        <w:t>T</w:t>
      </w:r>
      <w:r w:rsidR="00CB1C1E" w:rsidRPr="00472F78">
        <w:rPr>
          <w:rFonts w:cs="Arial"/>
          <w:b/>
        </w:rPr>
        <w:t xml:space="preserve">erm </w:t>
      </w:r>
      <w:r w:rsidR="00932C3B" w:rsidRPr="00472F78">
        <w:rPr>
          <w:rFonts w:cs="Arial"/>
          <w:b/>
        </w:rPr>
        <w:t>F</w:t>
      </w:r>
      <w:r w:rsidR="00CB1C1E" w:rsidRPr="00472F78">
        <w:rPr>
          <w:rFonts w:cs="Arial"/>
          <w:b/>
        </w:rPr>
        <w:t xml:space="preserve">inancial </w:t>
      </w:r>
      <w:r w:rsidR="00932C3B" w:rsidRPr="00472F78">
        <w:rPr>
          <w:rFonts w:cs="Arial"/>
          <w:b/>
        </w:rPr>
        <w:t>S</w:t>
      </w:r>
      <w:r w:rsidR="00CB1C1E" w:rsidRPr="00472F78">
        <w:rPr>
          <w:rFonts w:cs="Arial"/>
          <w:b/>
        </w:rPr>
        <w:t>trategy</w:t>
      </w:r>
    </w:p>
    <w:p w:rsidR="00932C3B" w:rsidRPr="00472F78" w:rsidRDefault="00932C3B" w:rsidP="008D5D96">
      <w:pPr>
        <w:tabs>
          <w:tab w:val="left" w:pos="567"/>
          <w:tab w:val="left" w:pos="1134"/>
        </w:tabs>
        <w:spacing w:after="0"/>
        <w:rPr>
          <w:rFonts w:cs="Arial"/>
          <w:b/>
        </w:rPr>
      </w:pPr>
    </w:p>
    <w:p w:rsidR="000A747F" w:rsidRPr="00472F78" w:rsidRDefault="00932C3B" w:rsidP="008D5D96">
      <w:pPr>
        <w:tabs>
          <w:tab w:val="left" w:pos="567"/>
          <w:tab w:val="left" w:pos="1134"/>
        </w:tabs>
        <w:spacing w:after="0"/>
        <w:rPr>
          <w:rFonts w:cs="Arial"/>
        </w:rPr>
      </w:pPr>
      <w:r w:rsidRPr="00472F78">
        <w:rPr>
          <w:rFonts w:cs="Arial"/>
        </w:rPr>
        <w:t xml:space="preserve">The County Council's </w:t>
      </w:r>
      <w:r w:rsidR="009A2CC4" w:rsidRPr="00472F78">
        <w:rPr>
          <w:rFonts w:cs="Arial"/>
        </w:rPr>
        <w:t xml:space="preserve">previously reported </w:t>
      </w:r>
      <w:r w:rsidRPr="00472F78">
        <w:rPr>
          <w:rFonts w:cs="Arial"/>
        </w:rPr>
        <w:t xml:space="preserve">MTFS </w:t>
      </w:r>
      <w:r w:rsidR="00AB2899" w:rsidRPr="00472F78">
        <w:rPr>
          <w:rFonts w:cs="Arial"/>
        </w:rPr>
        <w:t>ha</w:t>
      </w:r>
      <w:r w:rsidR="00DE1A9A" w:rsidRPr="00472F78">
        <w:rPr>
          <w:rFonts w:cs="Arial"/>
        </w:rPr>
        <w:t>d</w:t>
      </w:r>
      <w:r w:rsidR="00AB2899" w:rsidRPr="00472F78">
        <w:rPr>
          <w:rFonts w:cs="Arial"/>
        </w:rPr>
        <w:t xml:space="preserve"> </w:t>
      </w:r>
      <w:r w:rsidRPr="00472F78">
        <w:rPr>
          <w:rFonts w:cs="Arial"/>
        </w:rPr>
        <w:t>assume</w:t>
      </w:r>
      <w:r w:rsidR="00AB2899" w:rsidRPr="00472F78">
        <w:rPr>
          <w:rFonts w:cs="Arial"/>
        </w:rPr>
        <w:t xml:space="preserve">d that there would be a reduction in government funding. The assumptions made in the MTFS were a </w:t>
      </w:r>
      <w:r w:rsidRPr="00472F78">
        <w:rPr>
          <w:rFonts w:cs="Arial"/>
        </w:rPr>
        <w:t xml:space="preserve">7% reduction in </w:t>
      </w:r>
      <w:r w:rsidR="00CB1C1E" w:rsidRPr="00472F78">
        <w:rPr>
          <w:rFonts w:cs="Arial"/>
        </w:rPr>
        <w:t>government funding in</w:t>
      </w:r>
      <w:r w:rsidRPr="00472F78">
        <w:rPr>
          <w:rFonts w:cs="Arial"/>
        </w:rPr>
        <w:t xml:space="preserve"> both 2016/17 and 2017/18</w:t>
      </w:r>
      <w:r w:rsidR="00052490" w:rsidRPr="00472F78">
        <w:rPr>
          <w:rFonts w:cs="Arial"/>
        </w:rPr>
        <w:t xml:space="preserve"> and reductions of 6% in 2</w:t>
      </w:r>
      <w:r w:rsidR="00B57C56" w:rsidRPr="00472F78">
        <w:rPr>
          <w:rFonts w:cs="Arial"/>
        </w:rPr>
        <w:t>0</w:t>
      </w:r>
      <w:r w:rsidR="00052490" w:rsidRPr="00472F78">
        <w:rPr>
          <w:rFonts w:cs="Arial"/>
        </w:rPr>
        <w:t>18/19 and 2% in 2019/20</w:t>
      </w:r>
      <w:r w:rsidRPr="00472F78">
        <w:rPr>
          <w:rFonts w:cs="Arial"/>
        </w:rPr>
        <w:t xml:space="preserve">.  </w:t>
      </w:r>
      <w:r w:rsidR="007B6105" w:rsidRPr="00472F78">
        <w:rPr>
          <w:rFonts w:cs="Arial"/>
        </w:rPr>
        <w:t xml:space="preserve">The actual reductions in the Settlement are greater than those assumed. </w:t>
      </w:r>
    </w:p>
    <w:p w:rsidR="000A747F" w:rsidRPr="00472F78" w:rsidRDefault="000A747F" w:rsidP="008D5D96">
      <w:pPr>
        <w:tabs>
          <w:tab w:val="left" w:pos="567"/>
          <w:tab w:val="left" w:pos="1134"/>
        </w:tabs>
        <w:spacing w:after="0"/>
        <w:rPr>
          <w:rFonts w:cs="Arial"/>
        </w:rPr>
      </w:pPr>
    </w:p>
    <w:p w:rsidR="00932C3B" w:rsidRPr="00472F78" w:rsidRDefault="007B6105" w:rsidP="008D5D96">
      <w:pPr>
        <w:tabs>
          <w:tab w:val="left" w:pos="567"/>
          <w:tab w:val="left" w:pos="1134"/>
        </w:tabs>
        <w:spacing w:after="0"/>
        <w:rPr>
          <w:rFonts w:cs="Arial"/>
        </w:rPr>
      </w:pPr>
      <w:r w:rsidRPr="00472F78">
        <w:rPr>
          <w:rFonts w:cs="Arial"/>
        </w:rPr>
        <w:t>The impact of these changes on the MTFS are</w:t>
      </w:r>
      <w:r w:rsidR="000A747F" w:rsidRPr="00472F78">
        <w:rPr>
          <w:rFonts w:cs="Arial"/>
        </w:rPr>
        <w:t xml:space="preserve"> shown overleaf</w:t>
      </w:r>
      <w:r w:rsidRPr="00472F78">
        <w:rPr>
          <w:rFonts w:cs="Arial"/>
        </w:rPr>
        <w:t>:</w:t>
      </w: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p w:rsidR="000A747F" w:rsidRDefault="000A747F" w:rsidP="008D5D96">
      <w:pPr>
        <w:tabs>
          <w:tab w:val="left" w:pos="567"/>
          <w:tab w:val="left" w:pos="1134"/>
        </w:tabs>
        <w:spacing w:after="0"/>
        <w:rPr>
          <w:rFonts w:cs="Arial"/>
        </w:rPr>
      </w:pPr>
    </w:p>
    <w:tbl>
      <w:tblPr>
        <w:tblStyle w:val="TableGrid"/>
        <w:tblW w:w="9056" w:type="dxa"/>
        <w:jc w:val="center"/>
        <w:tblLook w:val="04A0" w:firstRow="1" w:lastRow="0" w:firstColumn="1" w:lastColumn="0" w:noHBand="0" w:noVBand="1"/>
      </w:tblPr>
      <w:tblGrid>
        <w:gridCol w:w="1811"/>
        <w:gridCol w:w="1811"/>
        <w:gridCol w:w="1811"/>
        <w:gridCol w:w="1811"/>
        <w:gridCol w:w="1812"/>
      </w:tblGrid>
      <w:tr w:rsidR="007B6105" w:rsidRPr="007426D8" w:rsidTr="000A747F">
        <w:trPr>
          <w:trHeight w:val="558"/>
          <w:jc w:val="center"/>
        </w:trPr>
        <w:tc>
          <w:tcPr>
            <w:tcW w:w="1811" w:type="dxa"/>
            <w:shd w:val="clear" w:color="auto" w:fill="BFBFBF" w:themeFill="background1" w:themeFillShade="BF"/>
            <w:vAlign w:val="center"/>
          </w:tcPr>
          <w:p w:rsidR="007B6105" w:rsidRPr="007426D8" w:rsidRDefault="007B6105" w:rsidP="000A747F">
            <w:pPr>
              <w:spacing w:after="0"/>
              <w:rPr>
                <w:rFonts w:cs="Arial"/>
                <w:b/>
                <w:sz w:val="22"/>
                <w:szCs w:val="22"/>
              </w:rPr>
            </w:pPr>
          </w:p>
        </w:tc>
        <w:tc>
          <w:tcPr>
            <w:tcW w:w="1811" w:type="dxa"/>
            <w:shd w:val="clear" w:color="auto" w:fill="BFBFBF" w:themeFill="background1" w:themeFillShade="BF"/>
            <w:vAlign w:val="center"/>
          </w:tcPr>
          <w:p w:rsidR="007426D8" w:rsidRPr="007426D8" w:rsidRDefault="007B6105" w:rsidP="000A747F">
            <w:pPr>
              <w:spacing w:after="0"/>
              <w:jc w:val="center"/>
              <w:rPr>
                <w:rFonts w:cs="Arial"/>
                <w:b/>
                <w:sz w:val="22"/>
                <w:szCs w:val="22"/>
              </w:rPr>
            </w:pPr>
            <w:r w:rsidRPr="007426D8">
              <w:rPr>
                <w:rFonts w:cs="Arial"/>
                <w:b/>
                <w:sz w:val="22"/>
                <w:szCs w:val="22"/>
              </w:rPr>
              <w:t>2016/17</w:t>
            </w:r>
          </w:p>
        </w:tc>
        <w:tc>
          <w:tcPr>
            <w:tcW w:w="1811" w:type="dxa"/>
            <w:shd w:val="clear" w:color="auto" w:fill="BFBFBF" w:themeFill="background1" w:themeFillShade="BF"/>
            <w:vAlign w:val="center"/>
          </w:tcPr>
          <w:p w:rsidR="007426D8" w:rsidRPr="007426D8" w:rsidRDefault="007B6105" w:rsidP="000A747F">
            <w:pPr>
              <w:spacing w:after="0"/>
              <w:jc w:val="center"/>
              <w:rPr>
                <w:rFonts w:cs="Arial"/>
                <w:b/>
                <w:sz w:val="22"/>
                <w:szCs w:val="22"/>
              </w:rPr>
            </w:pPr>
            <w:r w:rsidRPr="007426D8">
              <w:rPr>
                <w:rFonts w:cs="Arial"/>
                <w:b/>
                <w:sz w:val="22"/>
                <w:szCs w:val="22"/>
              </w:rPr>
              <w:t>2017/18</w:t>
            </w:r>
          </w:p>
        </w:tc>
        <w:tc>
          <w:tcPr>
            <w:tcW w:w="1811" w:type="dxa"/>
            <w:shd w:val="clear" w:color="auto" w:fill="BFBFBF" w:themeFill="background1" w:themeFillShade="BF"/>
            <w:vAlign w:val="center"/>
          </w:tcPr>
          <w:p w:rsidR="007426D8" w:rsidRPr="007426D8" w:rsidRDefault="007B6105" w:rsidP="000A747F">
            <w:pPr>
              <w:spacing w:after="0"/>
              <w:jc w:val="center"/>
              <w:rPr>
                <w:rFonts w:cs="Arial"/>
                <w:b/>
                <w:sz w:val="22"/>
                <w:szCs w:val="22"/>
              </w:rPr>
            </w:pPr>
            <w:r w:rsidRPr="007426D8">
              <w:rPr>
                <w:rFonts w:cs="Arial"/>
                <w:b/>
                <w:sz w:val="22"/>
                <w:szCs w:val="22"/>
              </w:rPr>
              <w:t>2018/19</w:t>
            </w:r>
          </w:p>
        </w:tc>
        <w:tc>
          <w:tcPr>
            <w:tcW w:w="1812" w:type="dxa"/>
            <w:shd w:val="clear" w:color="auto" w:fill="BFBFBF" w:themeFill="background1" w:themeFillShade="BF"/>
            <w:vAlign w:val="center"/>
          </w:tcPr>
          <w:p w:rsidR="007426D8" w:rsidRPr="007426D8" w:rsidRDefault="007B6105" w:rsidP="000A747F">
            <w:pPr>
              <w:spacing w:after="0"/>
              <w:jc w:val="center"/>
              <w:rPr>
                <w:rFonts w:cs="Arial"/>
                <w:b/>
                <w:sz w:val="22"/>
                <w:szCs w:val="22"/>
              </w:rPr>
            </w:pPr>
            <w:r w:rsidRPr="007426D8">
              <w:rPr>
                <w:rFonts w:cs="Arial"/>
                <w:b/>
                <w:sz w:val="22"/>
                <w:szCs w:val="22"/>
              </w:rPr>
              <w:t>2019/20</w:t>
            </w:r>
          </w:p>
        </w:tc>
      </w:tr>
      <w:tr w:rsidR="007B6105" w:rsidRPr="007426D8" w:rsidTr="001A3073">
        <w:trPr>
          <w:trHeight w:val="857"/>
          <w:jc w:val="center"/>
        </w:trPr>
        <w:tc>
          <w:tcPr>
            <w:tcW w:w="1811" w:type="dxa"/>
            <w:shd w:val="clear" w:color="auto" w:fill="auto"/>
            <w:vAlign w:val="center"/>
          </w:tcPr>
          <w:p w:rsidR="007B6105" w:rsidRPr="007426D8" w:rsidRDefault="007B6105" w:rsidP="007426D8">
            <w:pPr>
              <w:spacing w:after="0"/>
              <w:jc w:val="left"/>
              <w:rPr>
                <w:rFonts w:cs="Arial"/>
                <w:b/>
                <w:sz w:val="22"/>
                <w:szCs w:val="22"/>
              </w:rPr>
            </w:pPr>
            <w:r w:rsidRPr="007426D8">
              <w:rPr>
                <w:rFonts w:cs="Arial"/>
                <w:b/>
                <w:sz w:val="22"/>
                <w:szCs w:val="22"/>
              </w:rPr>
              <w:t>% change of SFA currently in MTFS</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-7.0%</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-7.0%</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-6.0%</w:t>
            </w:r>
          </w:p>
        </w:tc>
        <w:tc>
          <w:tcPr>
            <w:tcW w:w="1812"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-2.0%</w:t>
            </w:r>
          </w:p>
        </w:tc>
      </w:tr>
      <w:tr w:rsidR="007B6105" w:rsidRPr="007426D8" w:rsidTr="001A3073">
        <w:trPr>
          <w:trHeight w:val="857"/>
          <w:jc w:val="center"/>
        </w:trPr>
        <w:tc>
          <w:tcPr>
            <w:tcW w:w="1811" w:type="dxa"/>
            <w:shd w:val="clear" w:color="auto" w:fill="auto"/>
            <w:vAlign w:val="center"/>
          </w:tcPr>
          <w:p w:rsidR="007B6105" w:rsidRPr="007426D8" w:rsidRDefault="007B6105" w:rsidP="007426D8">
            <w:pPr>
              <w:spacing w:after="0"/>
              <w:jc w:val="left"/>
              <w:rPr>
                <w:rFonts w:cs="Arial"/>
                <w:b/>
                <w:sz w:val="22"/>
                <w:szCs w:val="22"/>
              </w:rPr>
            </w:pPr>
            <w:r w:rsidRPr="007426D8">
              <w:rPr>
                <w:rFonts w:cs="Arial"/>
                <w:b/>
                <w:sz w:val="22"/>
                <w:szCs w:val="22"/>
              </w:rPr>
              <w:t>Actual SFA reduction</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-13.7%</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-11.6%</w:t>
            </w:r>
          </w:p>
        </w:tc>
        <w:tc>
          <w:tcPr>
            <w:tcW w:w="1811"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-7.5%</w:t>
            </w:r>
          </w:p>
        </w:tc>
        <w:tc>
          <w:tcPr>
            <w:tcW w:w="1812" w:type="dxa"/>
            <w:shd w:val="clear" w:color="auto" w:fill="auto"/>
            <w:vAlign w:val="center"/>
          </w:tcPr>
          <w:p w:rsidR="007B6105" w:rsidRPr="007426D8" w:rsidRDefault="007B6105" w:rsidP="007426D8">
            <w:pPr>
              <w:spacing w:after="0"/>
              <w:jc w:val="center"/>
              <w:rPr>
                <w:rFonts w:cs="Arial"/>
                <w:sz w:val="22"/>
                <w:szCs w:val="22"/>
              </w:rPr>
            </w:pPr>
            <w:r w:rsidRPr="007426D8">
              <w:rPr>
                <w:rFonts w:cs="Arial"/>
                <w:sz w:val="22"/>
                <w:szCs w:val="22"/>
              </w:rPr>
              <w:t>-7.6%</w:t>
            </w:r>
          </w:p>
        </w:tc>
      </w:tr>
      <w:tr w:rsidR="007B6105" w:rsidRPr="007426D8" w:rsidTr="000C0795">
        <w:trPr>
          <w:trHeight w:val="704"/>
          <w:jc w:val="center"/>
        </w:trPr>
        <w:tc>
          <w:tcPr>
            <w:tcW w:w="1811" w:type="dxa"/>
            <w:shd w:val="clear" w:color="auto" w:fill="BFBFBF" w:themeFill="background1" w:themeFillShade="BF"/>
            <w:vAlign w:val="center"/>
          </w:tcPr>
          <w:p w:rsidR="007B6105" w:rsidRPr="007426D8" w:rsidRDefault="007B6105" w:rsidP="007426D8">
            <w:pPr>
              <w:spacing w:after="0"/>
              <w:jc w:val="left"/>
              <w:rPr>
                <w:rFonts w:cs="Arial"/>
                <w:b/>
                <w:sz w:val="22"/>
                <w:szCs w:val="22"/>
              </w:rPr>
            </w:pPr>
            <w:r w:rsidRPr="007426D8">
              <w:rPr>
                <w:rFonts w:cs="Arial"/>
                <w:b/>
                <w:sz w:val="22"/>
                <w:szCs w:val="22"/>
              </w:rPr>
              <w:t>Impact on MTFS</w:t>
            </w:r>
            <w:r w:rsidR="00A47041" w:rsidRPr="007426D8">
              <w:rPr>
                <w:rFonts w:cs="Arial"/>
                <w:b/>
                <w:sz w:val="22"/>
                <w:szCs w:val="22"/>
              </w:rPr>
              <w:t xml:space="preserve"> Funding Gap</w:t>
            </w:r>
            <w:r w:rsidR="00E7457D">
              <w:rPr>
                <w:rFonts w:cs="Arial"/>
                <w:b/>
                <w:sz w:val="22"/>
                <w:szCs w:val="22"/>
              </w:rPr>
              <w:t xml:space="preserve"> (£m)</w:t>
            </w:r>
          </w:p>
        </w:tc>
        <w:tc>
          <w:tcPr>
            <w:tcW w:w="1811" w:type="dxa"/>
            <w:shd w:val="clear" w:color="auto" w:fill="BFBFBF" w:themeFill="background1" w:themeFillShade="BF"/>
            <w:vAlign w:val="center"/>
          </w:tcPr>
          <w:p w:rsidR="007B6105" w:rsidRPr="007426D8" w:rsidRDefault="007B6105" w:rsidP="007426D8">
            <w:pPr>
              <w:spacing w:after="0"/>
              <w:jc w:val="center"/>
              <w:rPr>
                <w:rFonts w:cs="Arial"/>
                <w:b/>
                <w:sz w:val="22"/>
                <w:szCs w:val="22"/>
              </w:rPr>
            </w:pPr>
            <w:r w:rsidRPr="007426D8">
              <w:rPr>
                <w:rFonts w:cs="Arial"/>
                <w:b/>
                <w:sz w:val="22"/>
                <w:szCs w:val="22"/>
              </w:rPr>
              <w:t>14.</w:t>
            </w:r>
            <w:r w:rsidR="00602474" w:rsidRPr="007426D8">
              <w:rPr>
                <w:rFonts w:cs="Arial"/>
                <w:b/>
                <w:sz w:val="22"/>
                <w:szCs w:val="22"/>
              </w:rPr>
              <w:t>862</w:t>
            </w:r>
          </w:p>
        </w:tc>
        <w:tc>
          <w:tcPr>
            <w:tcW w:w="1811" w:type="dxa"/>
            <w:shd w:val="clear" w:color="auto" w:fill="BFBFBF" w:themeFill="background1" w:themeFillShade="BF"/>
            <w:vAlign w:val="center"/>
          </w:tcPr>
          <w:p w:rsidR="007B6105" w:rsidRPr="007426D8" w:rsidRDefault="007B6105" w:rsidP="007426D8">
            <w:pPr>
              <w:spacing w:after="0"/>
              <w:jc w:val="center"/>
              <w:rPr>
                <w:rFonts w:cs="Arial"/>
                <w:b/>
                <w:sz w:val="22"/>
                <w:szCs w:val="22"/>
              </w:rPr>
            </w:pPr>
            <w:r w:rsidRPr="007426D8">
              <w:rPr>
                <w:rFonts w:cs="Arial"/>
                <w:b/>
                <w:sz w:val="22"/>
                <w:szCs w:val="22"/>
              </w:rPr>
              <w:t>12.425</w:t>
            </w:r>
          </w:p>
        </w:tc>
        <w:tc>
          <w:tcPr>
            <w:tcW w:w="1811" w:type="dxa"/>
            <w:shd w:val="clear" w:color="auto" w:fill="BFBFBF" w:themeFill="background1" w:themeFillShade="BF"/>
            <w:vAlign w:val="center"/>
          </w:tcPr>
          <w:p w:rsidR="007B6105" w:rsidRPr="007426D8" w:rsidRDefault="007B6105" w:rsidP="007426D8">
            <w:pPr>
              <w:spacing w:after="0"/>
              <w:jc w:val="center"/>
              <w:rPr>
                <w:rFonts w:cs="Arial"/>
                <w:b/>
                <w:sz w:val="22"/>
                <w:szCs w:val="22"/>
              </w:rPr>
            </w:pPr>
            <w:r w:rsidRPr="007426D8">
              <w:rPr>
                <w:rFonts w:cs="Arial"/>
                <w:b/>
                <w:sz w:val="22"/>
                <w:szCs w:val="22"/>
              </w:rPr>
              <w:t>2.175</w:t>
            </w:r>
          </w:p>
        </w:tc>
        <w:tc>
          <w:tcPr>
            <w:tcW w:w="1812" w:type="dxa"/>
            <w:shd w:val="clear" w:color="auto" w:fill="BFBFBF" w:themeFill="background1" w:themeFillShade="BF"/>
            <w:vAlign w:val="center"/>
          </w:tcPr>
          <w:p w:rsidR="007B6105" w:rsidRPr="007426D8" w:rsidRDefault="007B6105" w:rsidP="007426D8">
            <w:pPr>
              <w:spacing w:after="0"/>
              <w:jc w:val="center"/>
              <w:rPr>
                <w:rFonts w:cs="Arial"/>
                <w:b/>
                <w:sz w:val="22"/>
                <w:szCs w:val="22"/>
              </w:rPr>
            </w:pPr>
            <w:r w:rsidRPr="007426D8">
              <w:rPr>
                <w:rFonts w:cs="Arial"/>
                <w:b/>
                <w:sz w:val="22"/>
                <w:szCs w:val="22"/>
              </w:rPr>
              <w:t>12.898</w:t>
            </w:r>
          </w:p>
        </w:tc>
      </w:tr>
    </w:tbl>
    <w:p w:rsidR="008D5D96" w:rsidRDefault="008D5D96">
      <w:pPr>
        <w:autoSpaceDE/>
        <w:autoSpaceDN/>
        <w:adjustRightInd/>
        <w:spacing w:after="0"/>
        <w:jc w:val="left"/>
        <w:rPr>
          <w:rFonts w:cs="Arial"/>
          <w:b/>
        </w:rPr>
      </w:pPr>
    </w:p>
    <w:p w:rsidR="00CE42AC" w:rsidRPr="008D5D96" w:rsidRDefault="006E0BEE" w:rsidP="008D5D96">
      <w:pPr>
        <w:tabs>
          <w:tab w:val="left" w:pos="567"/>
          <w:tab w:val="left" w:pos="1134"/>
        </w:tabs>
        <w:spacing w:after="0"/>
        <w:rPr>
          <w:rFonts w:cs="Arial"/>
          <w:b/>
        </w:rPr>
      </w:pPr>
      <w:r w:rsidRPr="008D5D96">
        <w:rPr>
          <w:rFonts w:cs="Arial"/>
          <w:b/>
        </w:rPr>
        <w:t>2.</w:t>
      </w:r>
      <w:r w:rsidR="00757FB9">
        <w:rPr>
          <w:rFonts w:cs="Arial"/>
          <w:b/>
        </w:rPr>
        <w:t>4</w:t>
      </w:r>
      <w:r w:rsidR="00757FB9" w:rsidRPr="008D5D96">
        <w:rPr>
          <w:rFonts w:cs="Arial"/>
          <w:b/>
        </w:rPr>
        <w:t xml:space="preserve"> </w:t>
      </w:r>
      <w:r w:rsidR="00CE42AC" w:rsidRPr="008D5D96">
        <w:rPr>
          <w:rFonts w:cs="Arial"/>
          <w:b/>
        </w:rPr>
        <w:t>Care Act 2014 Funding</w:t>
      </w:r>
    </w:p>
    <w:p w:rsidR="00CE42AC" w:rsidRPr="008D5D96" w:rsidRDefault="00CE42AC" w:rsidP="008D5D96">
      <w:pPr>
        <w:tabs>
          <w:tab w:val="left" w:pos="567"/>
          <w:tab w:val="left" w:pos="1134"/>
        </w:tabs>
        <w:spacing w:after="0"/>
        <w:rPr>
          <w:rFonts w:cs="Arial"/>
        </w:rPr>
      </w:pPr>
    </w:p>
    <w:p w:rsidR="00CE42AC" w:rsidRPr="008D5D96" w:rsidRDefault="00CE42AC" w:rsidP="008D5D96">
      <w:pPr>
        <w:tabs>
          <w:tab w:val="left" w:pos="567"/>
          <w:tab w:val="left" w:pos="1134"/>
        </w:tabs>
        <w:spacing w:after="0"/>
        <w:rPr>
          <w:rFonts w:cs="Arial"/>
        </w:rPr>
      </w:pPr>
      <w:r w:rsidRPr="008D5D96">
        <w:rPr>
          <w:rFonts w:cs="Arial"/>
        </w:rPr>
        <w:t xml:space="preserve">From the </w:t>
      </w:r>
      <w:r w:rsidR="000B2AE1">
        <w:rPr>
          <w:rFonts w:cs="Arial"/>
        </w:rPr>
        <w:t xml:space="preserve">details available it would appear </w:t>
      </w:r>
      <w:r w:rsidRPr="008D5D96">
        <w:rPr>
          <w:rFonts w:cs="Arial"/>
        </w:rPr>
        <w:t xml:space="preserve">that the </w:t>
      </w:r>
      <w:r w:rsidR="006E0BEE" w:rsidRPr="008D5D96">
        <w:rPr>
          <w:rFonts w:cs="Arial"/>
        </w:rPr>
        <w:t xml:space="preserve">Care Act funding is </w:t>
      </w:r>
      <w:r w:rsidRPr="008D5D96">
        <w:rPr>
          <w:rFonts w:cs="Arial"/>
        </w:rPr>
        <w:t>included within the SFA</w:t>
      </w:r>
      <w:r w:rsidR="006E0BEE" w:rsidRPr="008D5D96">
        <w:rPr>
          <w:rFonts w:cs="Arial"/>
        </w:rPr>
        <w:t xml:space="preserve"> </w:t>
      </w:r>
      <w:r w:rsidR="000B2AE1">
        <w:rPr>
          <w:rFonts w:cs="Arial"/>
        </w:rPr>
        <w:t>from</w:t>
      </w:r>
      <w:r w:rsidR="006E0BEE" w:rsidRPr="008D5D96">
        <w:rPr>
          <w:rFonts w:cs="Arial"/>
        </w:rPr>
        <w:t xml:space="preserve"> 2016/17</w:t>
      </w:r>
      <w:r w:rsidRPr="008D5D96">
        <w:rPr>
          <w:rFonts w:cs="Arial"/>
        </w:rPr>
        <w:t xml:space="preserve">; hence an adjusted 2015/16 SFA has been calculated for comparison purposes. In the MTFS there is specific grant </w:t>
      </w:r>
      <w:r w:rsidR="000A4469">
        <w:rPr>
          <w:rFonts w:cs="Arial"/>
        </w:rPr>
        <w:t xml:space="preserve">funding </w:t>
      </w:r>
      <w:r w:rsidRPr="008D5D96">
        <w:rPr>
          <w:rFonts w:cs="Arial"/>
        </w:rPr>
        <w:t>of £7m and therefore it is assumed that this has now been included in the SFA and represents a loss in each of the years having an overall impact on the funding gap of £7m</w:t>
      </w:r>
      <w:r w:rsidR="006E0BEE" w:rsidRPr="008D5D96">
        <w:rPr>
          <w:rFonts w:cs="Arial"/>
        </w:rPr>
        <w:t>.</w:t>
      </w:r>
    </w:p>
    <w:p w:rsidR="00E57F56" w:rsidRDefault="00E57F56" w:rsidP="00E7457D">
      <w:pPr>
        <w:spacing w:after="0"/>
        <w:rPr>
          <w:rFonts w:cs="Arial"/>
          <w:b/>
        </w:rPr>
      </w:pPr>
    </w:p>
    <w:p w:rsidR="00C460E7" w:rsidRPr="008D5D96" w:rsidRDefault="00C460E7" w:rsidP="00E7457D">
      <w:pPr>
        <w:spacing w:after="0"/>
        <w:rPr>
          <w:rFonts w:cs="Arial"/>
          <w:b/>
        </w:rPr>
      </w:pPr>
      <w:r w:rsidRPr="008D5D96">
        <w:rPr>
          <w:rFonts w:cs="Arial"/>
          <w:b/>
        </w:rPr>
        <w:t>2.</w:t>
      </w:r>
      <w:r w:rsidR="00757FB9">
        <w:rPr>
          <w:rFonts w:cs="Arial"/>
          <w:b/>
        </w:rPr>
        <w:t>5</w:t>
      </w:r>
      <w:r w:rsidR="00757FB9" w:rsidRPr="008D5D96">
        <w:rPr>
          <w:rFonts w:cs="Arial"/>
          <w:b/>
        </w:rPr>
        <w:t xml:space="preserve"> </w:t>
      </w:r>
      <w:r w:rsidRPr="008D5D96">
        <w:rPr>
          <w:rFonts w:cs="Arial"/>
          <w:b/>
        </w:rPr>
        <w:t>Better Care Funding</w:t>
      </w:r>
    </w:p>
    <w:p w:rsidR="00E7457D" w:rsidRDefault="00E7457D" w:rsidP="00E7457D">
      <w:pPr>
        <w:spacing w:after="0"/>
        <w:rPr>
          <w:rFonts w:cs="Arial"/>
        </w:rPr>
      </w:pPr>
    </w:p>
    <w:p w:rsidR="00C460E7" w:rsidRDefault="00C460E7" w:rsidP="00E7457D">
      <w:pPr>
        <w:spacing w:after="0"/>
        <w:rPr>
          <w:rFonts w:cs="Arial"/>
        </w:rPr>
      </w:pPr>
      <w:r w:rsidRPr="008D5D96">
        <w:rPr>
          <w:rFonts w:cs="Arial"/>
        </w:rPr>
        <w:t>The Secretary of State acknowledged</w:t>
      </w:r>
      <w:r w:rsidR="00DE1A9A" w:rsidRPr="008D5D96">
        <w:rPr>
          <w:rFonts w:cs="Arial"/>
        </w:rPr>
        <w:t xml:space="preserve"> in his statement that</w:t>
      </w:r>
      <w:r w:rsidRPr="008D5D96">
        <w:rPr>
          <w:rFonts w:cs="Arial"/>
        </w:rPr>
        <w:t xml:space="preserve"> the</w:t>
      </w:r>
      <w:r w:rsidR="000A4469">
        <w:rPr>
          <w:rFonts w:cs="Arial"/>
        </w:rPr>
        <w:t>re are</w:t>
      </w:r>
      <w:r w:rsidR="00DE1A9A" w:rsidRPr="008D5D96">
        <w:rPr>
          <w:rFonts w:cs="Arial"/>
        </w:rPr>
        <w:t xml:space="preserve"> </w:t>
      </w:r>
      <w:r w:rsidRPr="008D5D96">
        <w:rPr>
          <w:rFonts w:cs="Arial"/>
        </w:rPr>
        <w:t>expenditure pressure</w:t>
      </w:r>
      <w:r w:rsidR="000A4469">
        <w:rPr>
          <w:rFonts w:cs="Arial"/>
        </w:rPr>
        <w:t>s</w:t>
      </w:r>
      <w:r w:rsidRPr="008D5D96">
        <w:rPr>
          <w:rFonts w:cs="Arial"/>
        </w:rPr>
        <w:t xml:space="preserve"> arising from adult social care. It was therefore confirmed that there would be £1.5bn for local au</w:t>
      </w:r>
      <w:r w:rsidR="000A4469">
        <w:rPr>
          <w:rFonts w:cs="Arial"/>
        </w:rPr>
        <w:t>thorities to support work with health a</w:t>
      </w:r>
      <w:r w:rsidRPr="008D5D96">
        <w:rPr>
          <w:rFonts w:cs="Arial"/>
        </w:rPr>
        <w:t xml:space="preserve">uthorities to complement the Social Care Precept. In total this is expected to generate an additional £3.5bn for social care by 2020.Those </w:t>
      </w:r>
      <w:r w:rsidR="000A4469">
        <w:rPr>
          <w:rFonts w:cs="Arial"/>
        </w:rPr>
        <w:t xml:space="preserve">council's </w:t>
      </w:r>
      <w:r w:rsidRPr="008D5D96">
        <w:rPr>
          <w:rFonts w:cs="Arial"/>
        </w:rPr>
        <w:t xml:space="preserve">with lower ability to generate council tax income will receive higher allocation. The </w:t>
      </w:r>
      <w:r w:rsidR="000A4469">
        <w:rPr>
          <w:rFonts w:cs="Arial"/>
        </w:rPr>
        <w:t>County Council's allocation is as follows</w:t>
      </w:r>
      <w:r w:rsidRPr="008D5D96">
        <w:rPr>
          <w:rFonts w:cs="Arial"/>
        </w:rPr>
        <w:t>:</w:t>
      </w:r>
    </w:p>
    <w:p w:rsidR="00E7457D" w:rsidRDefault="00E7457D" w:rsidP="00E7457D">
      <w:pPr>
        <w:spacing w:after="0"/>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C460E7" w:rsidRPr="007426D8" w:rsidTr="006C2D30">
        <w:trPr>
          <w:trHeight w:val="562"/>
        </w:trPr>
        <w:tc>
          <w:tcPr>
            <w:tcW w:w="1803" w:type="dxa"/>
            <w:shd w:val="clear" w:color="auto" w:fill="BFBFBF" w:themeFill="background1" w:themeFillShade="BF"/>
            <w:vAlign w:val="center"/>
          </w:tcPr>
          <w:p w:rsidR="00C460E7" w:rsidRPr="007426D8" w:rsidRDefault="00C460E7" w:rsidP="007426D8">
            <w:pPr>
              <w:spacing w:after="0"/>
              <w:rPr>
                <w:rFonts w:cs="Arial"/>
                <w:sz w:val="22"/>
                <w:szCs w:val="22"/>
              </w:rPr>
            </w:pPr>
          </w:p>
        </w:tc>
        <w:tc>
          <w:tcPr>
            <w:tcW w:w="1803" w:type="dxa"/>
            <w:shd w:val="clear" w:color="auto" w:fill="BFBFBF" w:themeFill="background1" w:themeFillShade="BF"/>
            <w:vAlign w:val="center"/>
          </w:tcPr>
          <w:p w:rsidR="00C460E7" w:rsidRPr="007426D8" w:rsidRDefault="00C460E7" w:rsidP="007426D8">
            <w:pPr>
              <w:spacing w:after="0"/>
              <w:jc w:val="center"/>
              <w:rPr>
                <w:rFonts w:cs="Arial"/>
                <w:b/>
                <w:sz w:val="22"/>
                <w:szCs w:val="22"/>
              </w:rPr>
            </w:pPr>
            <w:r w:rsidRPr="007426D8">
              <w:rPr>
                <w:rFonts w:cs="Arial"/>
                <w:b/>
                <w:sz w:val="22"/>
                <w:szCs w:val="22"/>
              </w:rPr>
              <w:t>2016/17</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3" w:type="dxa"/>
            <w:shd w:val="clear" w:color="auto" w:fill="BFBFBF" w:themeFill="background1" w:themeFillShade="BF"/>
            <w:vAlign w:val="center"/>
          </w:tcPr>
          <w:p w:rsidR="00C460E7" w:rsidRPr="007426D8" w:rsidRDefault="00C460E7" w:rsidP="007426D8">
            <w:pPr>
              <w:spacing w:after="0"/>
              <w:jc w:val="center"/>
              <w:rPr>
                <w:rFonts w:cs="Arial"/>
                <w:b/>
                <w:sz w:val="22"/>
                <w:szCs w:val="22"/>
              </w:rPr>
            </w:pPr>
            <w:r w:rsidRPr="007426D8">
              <w:rPr>
                <w:rFonts w:cs="Arial"/>
                <w:b/>
                <w:sz w:val="22"/>
                <w:szCs w:val="22"/>
              </w:rPr>
              <w:t>2017/18</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3" w:type="dxa"/>
            <w:shd w:val="clear" w:color="auto" w:fill="BFBFBF" w:themeFill="background1" w:themeFillShade="BF"/>
            <w:vAlign w:val="center"/>
          </w:tcPr>
          <w:p w:rsidR="00C460E7" w:rsidRPr="007426D8" w:rsidRDefault="00C460E7" w:rsidP="007426D8">
            <w:pPr>
              <w:spacing w:after="0"/>
              <w:jc w:val="center"/>
              <w:rPr>
                <w:rFonts w:cs="Arial"/>
                <w:b/>
                <w:sz w:val="22"/>
                <w:szCs w:val="22"/>
              </w:rPr>
            </w:pPr>
            <w:r w:rsidRPr="007426D8">
              <w:rPr>
                <w:rFonts w:cs="Arial"/>
                <w:b/>
                <w:sz w:val="22"/>
                <w:szCs w:val="22"/>
              </w:rPr>
              <w:t>2018/19</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4" w:type="dxa"/>
            <w:shd w:val="clear" w:color="auto" w:fill="BFBFBF" w:themeFill="background1" w:themeFillShade="BF"/>
            <w:vAlign w:val="center"/>
          </w:tcPr>
          <w:p w:rsidR="00C460E7" w:rsidRPr="007426D8" w:rsidRDefault="00C460E7" w:rsidP="007426D8">
            <w:pPr>
              <w:spacing w:after="0"/>
              <w:jc w:val="center"/>
              <w:rPr>
                <w:rFonts w:cs="Arial"/>
                <w:b/>
                <w:sz w:val="22"/>
                <w:szCs w:val="22"/>
              </w:rPr>
            </w:pPr>
            <w:r w:rsidRPr="007426D8">
              <w:rPr>
                <w:rFonts w:cs="Arial"/>
                <w:b/>
                <w:sz w:val="22"/>
                <w:szCs w:val="22"/>
              </w:rPr>
              <w:t>2019/20</w:t>
            </w:r>
          </w:p>
          <w:p w:rsidR="007426D8" w:rsidRPr="007426D8" w:rsidRDefault="007426D8" w:rsidP="007426D8">
            <w:pPr>
              <w:spacing w:after="0"/>
              <w:jc w:val="center"/>
              <w:rPr>
                <w:rFonts w:cs="Arial"/>
                <w:b/>
                <w:sz w:val="22"/>
                <w:szCs w:val="22"/>
              </w:rPr>
            </w:pPr>
            <w:r w:rsidRPr="007426D8">
              <w:rPr>
                <w:rFonts w:cs="Arial"/>
                <w:b/>
                <w:sz w:val="22"/>
                <w:szCs w:val="22"/>
              </w:rPr>
              <w:t>£m</w:t>
            </w:r>
          </w:p>
        </w:tc>
      </w:tr>
      <w:tr w:rsidR="00C460E7" w:rsidRPr="007426D8" w:rsidTr="006C2D30">
        <w:trPr>
          <w:trHeight w:val="702"/>
        </w:trPr>
        <w:tc>
          <w:tcPr>
            <w:tcW w:w="1803" w:type="dxa"/>
            <w:shd w:val="clear" w:color="auto" w:fill="auto"/>
            <w:vAlign w:val="center"/>
          </w:tcPr>
          <w:p w:rsidR="00C460E7" w:rsidRPr="007426D8" w:rsidRDefault="00C460E7" w:rsidP="007426D8">
            <w:pPr>
              <w:spacing w:after="0"/>
              <w:jc w:val="left"/>
              <w:rPr>
                <w:rFonts w:cs="Arial"/>
                <w:b/>
                <w:sz w:val="22"/>
                <w:szCs w:val="22"/>
              </w:rPr>
            </w:pPr>
            <w:r w:rsidRPr="007426D8">
              <w:rPr>
                <w:rFonts w:cs="Arial"/>
                <w:b/>
                <w:sz w:val="22"/>
                <w:szCs w:val="22"/>
              </w:rPr>
              <w:t>MTFS</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0.000</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0.000</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0.000</w:t>
            </w:r>
          </w:p>
        </w:tc>
        <w:tc>
          <w:tcPr>
            <w:tcW w:w="1804"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0.000</w:t>
            </w:r>
          </w:p>
        </w:tc>
      </w:tr>
      <w:tr w:rsidR="00C460E7" w:rsidRPr="007426D8" w:rsidTr="007426D8">
        <w:trPr>
          <w:trHeight w:val="722"/>
        </w:trPr>
        <w:tc>
          <w:tcPr>
            <w:tcW w:w="1803" w:type="dxa"/>
            <w:vAlign w:val="center"/>
          </w:tcPr>
          <w:p w:rsidR="00C460E7" w:rsidRPr="007426D8" w:rsidRDefault="00C460E7" w:rsidP="007426D8">
            <w:pPr>
              <w:spacing w:after="0"/>
              <w:jc w:val="left"/>
              <w:rPr>
                <w:rFonts w:cs="Arial"/>
                <w:b/>
                <w:sz w:val="22"/>
                <w:szCs w:val="22"/>
              </w:rPr>
            </w:pPr>
            <w:r w:rsidRPr="007426D8">
              <w:rPr>
                <w:rFonts w:cs="Arial"/>
                <w:b/>
                <w:sz w:val="22"/>
                <w:szCs w:val="22"/>
              </w:rPr>
              <w:t xml:space="preserve">New </w:t>
            </w:r>
            <w:r w:rsidR="00757FB9" w:rsidRPr="007426D8">
              <w:rPr>
                <w:rFonts w:cs="Arial"/>
                <w:b/>
                <w:sz w:val="22"/>
                <w:szCs w:val="22"/>
              </w:rPr>
              <w:t xml:space="preserve">Better Care Fund </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0.000</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3.210</w:t>
            </w:r>
          </w:p>
        </w:tc>
        <w:tc>
          <w:tcPr>
            <w:tcW w:w="1803"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22.656</w:t>
            </w:r>
          </w:p>
        </w:tc>
        <w:tc>
          <w:tcPr>
            <w:tcW w:w="1804" w:type="dxa"/>
            <w:shd w:val="clear" w:color="auto" w:fill="auto"/>
            <w:vAlign w:val="center"/>
          </w:tcPr>
          <w:p w:rsidR="00C460E7" w:rsidRPr="007426D8" w:rsidRDefault="00C460E7" w:rsidP="007426D8">
            <w:pPr>
              <w:spacing w:after="0"/>
              <w:jc w:val="center"/>
              <w:rPr>
                <w:rFonts w:cs="Arial"/>
                <w:sz w:val="22"/>
                <w:szCs w:val="22"/>
              </w:rPr>
            </w:pPr>
            <w:r w:rsidRPr="007426D8">
              <w:rPr>
                <w:rFonts w:cs="Arial"/>
                <w:sz w:val="22"/>
                <w:szCs w:val="22"/>
              </w:rPr>
              <w:t>40.014</w:t>
            </w:r>
          </w:p>
        </w:tc>
      </w:tr>
      <w:tr w:rsidR="00C460E7" w:rsidRPr="007426D8" w:rsidTr="006C2D30">
        <w:trPr>
          <w:trHeight w:val="852"/>
        </w:trPr>
        <w:tc>
          <w:tcPr>
            <w:tcW w:w="1803" w:type="dxa"/>
            <w:shd w:val="clear" w:color="auto" w:fill="BFBFBF" w:themeFill="background1" w:themeFillShade="BF"/>
            <w:vAlign w:val="center"/>
          </w:tcPr>
          <w:p w:rsidR="00C460E7" w:rsidRPr="007426D8" w:rsidRDefault="00C460E7" w:rsidP="007426D8">
            <w:pPr>
              <w:spacing w:after="0"/>
              <w:jc w:val="left"/>
              <w:rPr>
                <w:rFonts w:cs="Arial"/>
                <w:b/>
                <w:sz w:val="22"/>
                <w:szCs w:val="22"/>
              </w:rPr>
            </w:pPr>
            <w:r w:rsidRPr="007426D8">
              <w:rPr>
                <w:rFonts w:cs="Arial"/>
                <w:b/>
                <w:sz w:val="22"/>
                <w:szCs w:val="22"/>
              </w:rPr>
              <w:t>Impact on MTFS</w:t>
            </w:r>
            <w:r w:rsidR="00A47041" w:rsidRPr="007426D8">
              <w:rPr>
                <w:rFonts w:cs="Arial"/>
                <w:b/>
                <w:sz w:val="22"/>
                <w:szCs w:val="22"/>
              </w:rPr>
              <w:t xml:space="preserve"> Funding Gap</w:t>
            </w:r>
          </w:p>
        </w:tc>
        <w:tc>
          <w:tcPr>
            <w:tcW w:w="1803" w:type="dxa"/>
            <w:shd w:val="clear" w:color="auto" w:fill="BFBFBF" w:themeFill="background1" w:themeFillShade="BF"/>
            <w:vAlign w:val="center"/>
          </w:tcPr>
          <w:p w:rsidR="00C460E7" w:rsidRPr="007426D8" w:rsidRDefault="00C460E7" w:rsidP="007426D8">
            <w:pPr>
              <w:spacing w:after="0"/>
              <w:jc w:val="center"/>
              <w:rPr>
                <w:rFonts w:cs="Arial"/>
                <w:b/>
                <w:sz w:val="22"/>
                <w:szCs w:val="22"/>
              </w:rPr>
            </w:pPr>
            <w:r w:rsidRPr="007426D8">
              <w:rPr>
                <w:rFonts w:cs="Arial"/>
                <w:b/>
                <w:sz w:val="22"/>
                <w:szCs w:val="22"/>
              </w:rPr>
              <w:t>0.000</w:t>
            </w:r>
          </w:p>
        </w:tc>
        <w:tc>
          <w:tcPr>
            <w:tcW w:w="1803" w:type="dxa"/>
            <w:shd w:val="clear" w:color="auto" w:fill="BFBFBF" w:themeFill="background1" w:themeFillShade="BF"/>
            <w:vAlign w:val="center"/>
          </w:tcPr>
          <w:p w:rsidR="00C460E7" w:rsidRPr="007426D8" w:rsidRDefault="00964D82" w:rsidP="007426D8">
            <w:pPr>
              <w:spacing w:after="0"/>
              <w:jc w:val="center"/>
              <w:rPr>
                <w:rFonts w:cs="Arial"/>
                <w:b/>
                <w:sz w:val="22"/>
                <w:szCs w:val="22"/>
              </w:rPr>
            </w:pPr>
            <w:r w:rsidRPr="007426D8">
              <w:rPr>
                <w:rFonts w:cs="Arial"/>
                <w:b/>
                <w:sz w:val="22"/>
                <w:szCs w:val="22"/>
              </w:rPr>
              <w:t>-</w:t>
            </w:r>
            <w:r w:rsidR="00C460E7" w:rsidRPr="007426D8">
              <w:rPr>
                <w:rFonts w:cs="Arial"/>
                <w:b/>
                <w:sz w:val="22"/>
                <w:szCs w:val="22"/>
              </w:rPr>
              <w:t>3.210</w:t>
            </w:r>
          </w:p>
        </w:tc>
        <w:tc>
          <w:tcPr>
            <w:tcW w:w="1803" w:type="dxa"/>
            <w:shd w:val="clear" w:color="auto" w:fill="BFBFBF" w:themeFill="background1" w:themeFillShade="BF"/>
            <w:vAlign w:val="center"/>
          </w:tcPr>
          <w:p w:rsidR="00C460E7" w:rsidRPr="007426D8" w:rsidRDefault="00964D82" w:rsidP="007426D8">
            <w:pPr>
              <w:spacing w:after="0"/>
              <w:jc w:val="center"/>
              <w:rPr>
                <w:rFonts w:cs="Arial"/>
                <w:b/>
                <w:sz w:val="22"/>
                <w:szCs w:val="22"/>
              </w:rPr>
            </w:pPr>
            <w:r w:rsidRPr="007426D8">
              <w:rPr>
                <w:rFonts w:cs="Arial"/>
                <w:b/>
                <w:sz w:val="22"/>
                <w:szCs w:val="22"/>
              </w:rPr>
              <w:t>-</w:t>
            </w:r>
            <w:r w:rsidR="00C460E7" w:rsidRPr="007426D8">
              <w:rPr>
                <w:rFonts w:cs="Arial"/>
                <w:b/>
                <w:sz w:val="22"/>
                <w:szCs w:val="22"/>
              </w:rPr>
              <w:t>19.446</w:t>
            </w:r>
          </w:p>
        </w:tc>
        <w:tc>
          <w:tcPr>
            <w:tcW w:w="1804" w:type="dxa"/>
            <w:shd w:val="clear" w:color="auto" w:fill="BFBFBF" w:themeFill="background1" w:themeFillShade="BF"/>
            <w:vAlign w:val="center"/>
          </w:tcPr>
          <w:p w:rsidR="00C460E7" w:rsidRPr="007426D8" w:rsidRDefault="00964D82" w:rsidP="007426D8">
            <w:pPr>
              <w:spacing w:after="0"/>
              <w:jc w:val="center"/>
              <w:rPr>
                <w:rFonts w:cs="Arial"/>
                <w:b/>
                <w:sz w:val="22"/>
                <w:szCs w:val="22"/>
              </w:rPr>
            </w:pPr>
            <w:r w:rsidRPr="007426D8">
              <w:rPr>
                <w:rFonts w:cs="Arial"/>
                <w:b/>
                <w:sz w:val="22"/>
                <w:szCs w:val="22"/>
              </w:rPr>
              <w:t>-</w:t>
            </w:r>
            <w:r w:rsidR="00C460E7" w:rsidRPr="007426D8">
              <w:rPr>
                <w:rFonts w:cs="Arial"/>
                <w:b/>
                <w:sz w:val="22"/>
                <w:szCs w:val="22"/>
              </w:rPr>
              <w:t>17.358</w:t>
            </w:r>
          </w:p>
        </w:tc>
      </w:tr>
    </w:tbl>
    <w:p w:rsidR="00391EC0" w:rsidRDefault="00391EC0" w:rsidP="008D5D96">
      <w:pPr>
        <w:tabs>
          <w:tab w:val="left" w:pos="567"/>
          <w:tab w:val="left" w:pos="1134"/>
        </w:tabs>
        <w:spacing w:after="0"/>
        <w:rPr>
          <w:rFonts w:cs="Arial"/>
          <w:b/>
        </w:rPr>
      </w:pPr>
    </w:p>
    <w:p w:rsidR="009B4D52" w:rsidRPr="008D5D96" w:rsidRDefault="00522F1E" w:rsidP="008D5D96">
      <w:pPr>
        <w:tabs>
          <w:tab w:val="left" w:pos="567"/>
          <w:tab w:val="left" w:pos="1134"/>
        </w:tabs>
        <w:spacing w:after="0"/>
        <w:rPr>
          <w:rFonts w:cs="Arial"/>
          <w:b/>
        </w:rPr>
      </w:pPr>
      <w:r w:rsidRPr="008D5D96">
        <w:rPr>
          <w:rFonts w:cs="Arial"/>
          <w:b/>
        </w:rPr>
        <w:t>2</w:t>
      </w:r>
      <w:r w:rsidR="000F0E5F" w:rsidRPr="008D5D96">
        <w:rPr>
          <w:rFonts w:cs="Arial"/>
          <w:b/>
        </w:rPr>
        <w:t>.</w:t>
      </w:r>
      <w:r w:rsidR="00391EC0">
        <w:rPr>
          <w:rFonts w:cs="Arial"/>
          <w:b/>
        </w:rPr>
        <w:t>6</w:t>
      </w:r>
      <w:r w:rsidR="00391EC0" w:rsidRPr="008D5D96">
        <w:rPr>
          <w:rFonts w:cs="Arial"/>
          <w:b/>
        </w:rPr>
        <w:t xml:space="preserve"> </w:t>
      </w:r>
      <w:r w:rsidR="007B6105" w:rsidRPr="008D5D96">
        <w:rPr>
          <w:rFonts w:cs="Arial"/>
          <w:b/>
        </w:rPr>
        <w:t xml:space="preserve">New Homes Bonus </w:t>
      </w:r>
    </w:p>
    <w:p w:rsidR="00CE019C" w:rsidRPr="008D5D96" w:rsidRDefault="00CE019C" w:rsidP="008D5D96">
      <w:pPr>
        <w:tabs>
          <w:tab w:val="left" w:pos="567"/>
          <w:tab w:val="left" w:pos="1134"/>
        </w:tabs>
        <w:spacing w:after="0"/>
        <w:rPr>
          <w:rFonts w:cs="Arial"/>
          <w:b/>
        </w:rPr>
      </w:pPr>
    </w:p>
    <w:p w:rsidR="00B80FC5" w:rsidRDefault="00B60DE9" w:rsidP="008D5D96">
      <w:pPr>
        <w:tabs>
          <w:tab w:val="left" w:pos="567"/>
          <w:tab w:val="left" w:pos="1134"/>
        </w:tabs>
        <w:spacing w:after="0"/>
        <w:rPr>
          <w:rFonts w:cs="Arial"/>
        </w:rPr>
      </w:pPr>
      <w:r w:rsidRPr="008D5D96">
        <w:rPr>
          <w:rFonts w:cs="Arial"/>
        </w:rPr>
        <w:t>The Settlement includes an actual New Homes Bonus figure for 2016/17 and indicative allocation for 2017/18 to 2019/20</w:t>
      </w:r>
      <w:r w:rsidR="00B80FC5" w:rsidRPr="008D5D96">
        <w:rPr>
          <w:rFonts w:cs="Arial"/>
        </w:rPr>
        <w:t xml:space="preserve">. These future years' are lower to reflect </w:t>
      </w:r>
      <w:r w:rsidR="000B2AE1">
        <w:rPr>
          <w:rFonts w:cs="Arial"/>
        </w:rPr>
        <w:t xml:space="preserve">a </w:t>
      </w:r>
      <w:r w:rsidR="00B80FC5" w:rsidRPr="008D5D96">
        <w:rPr>
          <w:rFonts w:cs="Arial"/>
        </w:rPr>
        <w:t>reduction in the total funding allocated in future years'</w:t>
      </w:r>
      <w:r w:rsidRPr="008D5D96">
        <w:rPr>
          <w:rFonts w:cs="Arial"/>
        </w:rPr>
        <w:t xml:space="preserve">.  </w:t>
      </w:r>
      <w:r w:rsidR="00B80FC5" w:rsidRPr="008D5D96">
        <w:rPr>
          <w:rFonts w:cs="Arial"/>
        </w:rPr>
        <w:t>However, the New Homes Bonus System is subject to change and actual allocations will depend upon the outcome of the consultation and also the impact of future local growth.  Using the indicative allocations will have the following effect on the MTFS:</w:t>
      </w:r>
    </w:p>
    <w:p w:rsidR="000A747F" w:rsidRDefault="000A747F" w:rsidP="008D5D96">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B80FC5" w:rsidRPr="007426D8" w:rsidTr="006C2D30">
        <w:trPr>
          <w:trHeight w:val="591"/>
        </w:trPr>
        <w:tc>
          <w:tcPr>
            <w:tcW w:w="1803" w:type="dxa"/>
            <w:shd w:val="clear" w:color="auto" w:fill="BFBFBF" w:themeFill="background1" w:themeFillShade="BF"/>
            <w:vAlign w:val="center"/>
          </w:tcPr>
          <w:p w:rsidR="00B80FC5" w:rsidRPr="007426D8" w:rsidRDefault="00B80FC5" w:rsidP="007426D8">
            <w:pPr>
              <w:spacing w:after="0"/>
              <w:jc w:val="center"/>
              <w:rPr>
                <w:rFonts w:cs="Arial"/>
                <w:b/>
                <w:sz w:val="22"/>
                <w:szCs w:val="22"/>
              </w:rPr>
            </w:pPr>
          </w:p>
        </w:tc>
        <w:tc>
          <w:tcPr>
            <w:tcW w:w="1803" w:type="dxa"/>
            <w:shd w:val="clear" w:color="auto" w:fill="BFBFBF" w:themeFill="background1" w:themeFillShade="BF"/>
            <w:vAlign w:val="center"/>
          </w:tcPr>
          <w:p w:rsidR="00B80FC5" w:rsidRPr="007426D8" w:rsidRDefault="00B80FC5" w:rsidP="007426D8">
            <w:pPr>
              <w:spacing w:after="0"/>
              <w:jc w:val="center"/>
              <w:rPr>
                <w:rFonts w:cs="Arial"/>
                <w:b/>
                <w:sz w:val="22"/>
                <w:szCs w:val="22"/>
              </w:rPr>
            </w:pPr>
            <w:r w:rsidRPr="007426D8">
              <w:rPr>
                <w:rFonts w:cs="Arial"/>
                <w:b/>
                <w:sz w:val="22"/>
                <w:szCs w:val="22"/>
              </w:rPr>
              <w:t>2016/17</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3" w:type="dxa"/>
            <w:shd w:val="clear" w:color="auto" w:fill="BFBFBF" w:themeFill="background1" w:themeFillShade="BF"/>
            <w:vAlign w:val="center"/>
          </w:tcPr>
          <w:p w:rsidR="00B80FC5" w:rsidRPr="007426D8" w:rsidRDefault="00B80FC5" w:rsidP="007426D8">
            <w:pPr>
              <w:spacing w:after="0"/>
              <w:jc w:val="center"/>
              <w:rPr>
                <w:rFonts w:cs="Arial"/>
                <w:b/>
                <w:sz w:val="22"/>
                <w:szCs w:val="22"/>
              </w:rPr>
            </w:pPr>
            <w:r w:rsidRPr="007426D8">
              <w:rPr>
                <w:rFonts w:cs="Arial"/>
                <w:b/>
                <w:sz w:val="22"/>
                <w:szCs w:val="22"/>
              </w:rPr>
              <w:t>2017/18</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3" w:type="dxa"/>
            <w:shd w:val="clear" w:color="auto" w:fill="BFBFBF" w:themeFill="background1" w:themeFillShade="BF"/>
            <w:vAlign w:val="center"/>
          </w:tcPr>
          <w:p w:rsidR="00B80FC5" w:rsidRPr="007426D8" w:rsidRDefault="00B80FC5" w:rsidP="007426D8">
            <w:pPr>
              <w:spacing w:after="0"/>
              <w:jc w:val="center"/>
              <w:rPr>
                <w:rFonts w:cs="Arial"/>
                <w:b/>
                <w:sz w:val="22"/>
                <w:szCs w:val="22"/>
              </w:rPr>
            </w:pPr>
            <w:r w:rsidRPr="007426D8">
              <w:rPr>
                <w:rFonts w:cs="Arial"/>
                <w:b/>
                <w:sz w:val="22"/>
                <w:szCs w:val="22"/>
              </w:rPr>
              <w:t>2018/19</w:t>
            </w:r>
          </w:p>
          <w:p w:rsidR="007426D8" w:rsidRPr="007426D8" w:rsidRDefault="007426D8" w:rsidP="007426D8">
            <w:pPr>
              <w:spacing w:after="0"/>
              <w:jc w:val="center"/>
              <w:rPr>
                <w:rFonts w:cs="Arial"/>
                <w:b/>
                <w:sz w:val="22"/>
                <w:szCs w:val="22"/>
              </w:rPr>
            </w:pPr>
            <w:r w:rsidRPr="007426D8">
              <w:rPr>
                <w:rFonts w:cs="Arial"/>
                <w:b/>
                <w:sz w:val="22"/>
                <w:szCs w:val="22"/>
              </w:rPr>
              <w:t>£m</w:t>
            </w:r>
          </w:p>
        </w:tc>
        <w:tc>
          <w:tcPr>
            <w:tcW w:w="1804" w:type="dxa"/>
            <w:shd w:val="clear" w:color="auto" w:fill="BFBFBF" w:themeFill="background1" w:themeFillShade="BF"/>
            <w:vAlign w:val="center"/>
          </w:tcPr>
          <w:p w:rsidR="00B80FC5" w:rsidRPr="007426D8" w:rsidRDefault="00B80FC5" w:rsidP="007426D8">
            <w:pPr>
              <w:spacing w:after="0"/>
              <w:jc w:val="center"/>
              <w:rPr>
                <w:rFonts w:cs="Arial"/>
                <w:b/>
                <w:sz w:val="22"/>
                <w:szCs w:val="22"/>
              </w:rPr>
            </w:pPr>
            <w:r w:rsidRPr="007426D8">
              <w:rPr>
                <w:rFonts w:cs="Arial"/>
                <w:b/>
                <w:sz w:val="22"/>
                <w:szCs w:val="22"/>
              </w:rPr>
              <w:t>2019/20</w:t>
            </w:r>
          </w:p>
          <w:p w:rsidR="007426D8" w:rsidRPr="007426D8" w:rsidRDefault="007426D8" w:rsidP="007426D8">
            <w:pPr>
              <w:spacing w:after="0"/>
              <w:jc w:val="center"/>
              <w:rPr>
                <w:rFonts w:cs="Arial"/>
                <w:b/>
                <w:sz w:val="22"/>
                <w:szCs w:val="22"/>
              </w:rPr>
            </w:pPr>
            <w:r w:rsidRPr="007426D8">
              <w:rPr>
                <w:rFonts w:cs="Arial"/>
                <w:b/>
                <w:sz w:val="22"/>
                <w:szCs w:val="22"/>
              </w:rPr>
              <w:t>£m</w:t>
            </w:r>
          </w:p>
        </w:tc>
      </w:tr>
      <w:tr w:rsidR="00B80FC5" w:rsidRPr="007426D8" w:rsidTr="006C2D30">
        <w:trPr>
          <w:trHeight w:val="599"/>
        </w:trPr>
        <w:tc>
          <w:tcPr>
            <w:tcW w:w="1803" w:type="dxa"/>
            <w:vAlign w:val="center"/>
          </w:tcPr>
          <w:p w:rsidR="00B80FC5" w:rsidRPr="007426D8" w:rsidRDefault="00B80FC5" w:rsidP="007426D8">
            <w:pPr>
              <w:spacing w:after="0"/>
              <w:rPr>
                <w:rFonts w:cs="Arial"/>
                <w:b/>
                <w:sz w:val="22"/>
                <w:szCs w:val="22"/>
              </w:rPr>
            </w:pPr>
            <w:r w:rsidRPr="007426D8">
              <w:rPr>
                <w:rFonts w:cs="Arial"/>
                <w:b/>
                <w:sz w:val="22"/>
                <w:szCs w:val="22"/>
              </w:rPr>
              <w:t>MTFS</w:t>
            </w:r>
          </w:p>
        </w:tc>
        <w:tc>
          <w:tcPr>
            <w:tcW w:w="1803" w:type="dxa"/>
            <w:tcBorders>
              <w:top w:val="single" w:sz="4" w:space="0" w:color="auto"/>
              <w:left w:val="nil"/>
              <w:bottom w:val="single" w:sz="4" w:space="0" w:color="auto"/>
              <w:right w:val="single" w:sz="4" w:space="0" w:color="auto"/>
            </w:tcBorders>
            <w:shd w:val="clear" w:color="auto" w:fill="auto"/>
            <w:vAlign w:val="center"/>
          </w:tcPr>
          <w:p w:rsidR="00B80FC5" w:rsidRPr="007426D8" w:rsidRDefault="00B80FC5" w:rsidP="007426D8">
            <w:pPr>
              <w:spacing w:after="0"/>
              <w:jc w:val="center"/>
              <w:rPr>
                <w:rFonts w:cs="Arial"/>
                <w:sz w:val="22"/>
                <w:szCs w:val="22"/>
              </w:rPr>
            </w:pPr>
            <w:r w:rsidRPr="007426D8">
              <w:rPr>
                <w:rFonts w:cs="Arial"/>
                <w:sz w:val="22"/>
                <w:szCs w:val="22"/>
              </w:rPr>
              <w:t>4.</w:t>
            </w:r>
            <w:r w:rsidR="00602474" w:rsidRPr="007426D8">
              <w:rPr>
                <w:rFonts w:cs="Arial"/>
                <w:sz w:val="22"/>
                <w:szCs w:val="22"/>
              </w:rPr>
              <w:t>915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B80FC5" w:rsidRPr="007426D8" w:rsidRDefault="00B80FC5" w:rsidP="007426D8">
            <w:pPr>
              <w:spacing w:after="0"/>
              <w:jc w:val="center"/>
              <w:rPr>
                <w:rFonts w:cs="Arial"/>
                <w:sz w:val="22"/>
                <w:szCs w:val="22"/>
              </w:rPr>
            </w:pPr>
            <w:r w:rsidRPr="007426D8">
              <w:rPr>
                <w:rFonts w:cs="Arial"/>
                <w:sz w:val="22"/>
                <w:szCs w:val="22"/>
              </w:rPr>
              <w:t>4.994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B80FC5" w:rsidRPr="007426D8" w:rsidRDefault="00B80FC5" w:rsidP="007426D8">
            <w:pPr>
              <w:spacing w:after="0"/>
              <w:jc w:val="center"/>
              <w:rPr>
                <w:rFonts w:cs="Arial"/>
                <w:sz w:val="22"/>
                <w:szCs w:val="22"/>
              </w:rPr>
            </w:pPr>
            <w:r w:rsidRPr="007426D8">
              <w:rPr>
                <w:rFonts w:cs="Arial"/>
                <w:sz w:val="22"/>
                <w:szCs w:val="22"/>
              </w:rPr>
              <w:t>5.000</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B80FC5" w:rsidRPr="007426D8" w:rsidRDefault="00B80FC5" w:rsidP="007426D8">
            <w:pPr>
              <w:spacing w:after="0"/>
              <w:jc w:val="center"/>
              <w:rPr>
                <w:rFonts w:cs="Arial"/>
                <w:sz w:val="22"/>
                <w:szCs w:val="22"/>
              </w:rPr>
            </w:pPr>
            <w:r w:rsidRPr="007426D8">
              <w:rPr>
                <w:rFonts w:cs="Arial"/>
                <w:sz w:val="22"/>
                <w:szCs w:val="22"/>
              </w:rPr>
              <w:t>5.000</w:t>
            </w:r>
          </w:p>
        </w:tc>
      </w:tr>
      <w:tr w:rsidR="00B80FC5" w:rsidRPr="007426D8" w:rsidTr="006C2D30">
        <w:trPr>
          <w:trHeight w:val="693"/>
        </w:trPr>
        <w:tc>
          <w:tcPr>
            <w:tcW w:w="1803" w:type="dxa"/>
            <w:vAlign w:val="center"/>
          </w:tcPr>
          <w:p w:rsidR="00B80FC5" w:rsidRPr="007426D8" w:rsidRDefault="00B80FC5" w:rsidP="007426D8">
            <w:pPr>
              <w:spacing w:after="0"/>
              <w:rPr>
                <w:rFonts w:cs="Arial"/>
                <w:b/>
                <w:sz w:val="22"/>
                <w:szCs w:val="22"/>
              </w:rPr>
            </w:pPr>
            <w:r w:rsidRPr="007426D8">
              <w:rPr>
                <w:rFonts w:cs="Arial"/>
                <w:b/>
                <w:sz w:val="22"/>
                <w:szCs w:val="22"/>
              </w:rPr>
              <w:t>Settlement assumption</w:t>
            </w:r>
          </w:p>
        </w:tc>
        <w:tc>
          <w:tcPr>
            <w:tcW w:w="1803" w:type="dxa"/>
            <w:vAlign w:val="center"/>
          </w:tcPr>
          <w:p w:rsidR="00B80FC5" w:rsidRPr="007426D8" w:rsidRDefault="00B80FC5" w:rsidP="007426D8">
            <w:pPr>
              <w:spacing w:after="0"/>
              <w:jc w:val="center"/>
              <w:rPr>
                <w:rFonts w:cs="Arial"/>
                <w:sz w:val="22"/>
                <w:szCs w:val="22"/>
              </w:rPr>
            </w:pPr>
            <w:r w:rsidRPr="007426D8">
              <w:rPr>
                <w:rFonts w:cs="Arial"/>
                <w:sz w:val="22"/>
                <w:szCs w:val="22"/>
              </w:rPr>
              <w:t>5.084</w:t>
            </w:r>
          </w:p>
        </w:tc>
        <w:tc>
          <w:tcPr>
            <w:tcW w:w="1803" w:type="dxa"/>
            <w:vAlign w:val="center"/>
          </w:tcPr>
          <w:p w:rsidR="00B80FC5" w:rsidRPr="007426D8" w:rsidRDefault="00B80FC5" w:rsidP="007426D8">
            <w:pPr>
              <w:spacing w:after="0"/>
              <w:jc w:val="center"/>
              <w:rPr>
                <w:rFonts w:cs="Arial"/>
                <w:sz w:val="22"/>
                <w:szCs w:val="22"/>
              </w:rPr>
            </w:pPr>
            <w:r w:rsidRPr="007426D8">
              <w:rPr>
                <w:rFonts w:cs="Arial"/>
                <w:sz w:val="22"/>
                <w:szCs w:val="22"/>
              </w:rPr>
              <w:t>5.531</w:t>
            </w:r>
          </w:p>
        </w:tc>
        <w:tc>
          <w:tcPr>
            <w:tcW w:w="1803" w:type="dxa"/>
            <w:vAlign w:val="center"/>
          </w:tcPr>
          <w:p w:rsidR="00B80FC5" w:rsidRPr="007426D8" w:rsidRDefault="00B80FC5" w:rsidP="007426D8">
            <w:pPr>
              <w:spacing w:after="0"/>
              <w:jc w:val="center"/>
              <w:rPr>
                <w:rFonts w:cs="Arial"/>
                <w:sz w:val="22"/>
                <w:szCs w:val="22"/>
              </w:rPr>
            </w:pPr>
            <w:r w:rsidRPr="007426D8">
              <w:rPr>
                <w:rFonts w:cs="Arial"/>
                <w:sz w:val="22"/>
                <w:szCs w:val="22"/>
              </w:rPr>
              <w:t>3.475</w:t>
            </w:r>
          </w:p>
        </w:tc>
        <w:tc>
          <w:tcPr>
            <w:tcW w:w="1804" w:type="dxa"/>
            <w:vAlign w:val="center"/>
          </w:tcPr>
          <w:p w:rsidR="00B80FC5" w:rsidRPr="007426D8" w:rsidRDefault="00B80FC5" w:rsidP="007426D8">
            <w:pPr>
              <w:spacing w:after="0"/>
              <w:jc w:val="center"/>
              <w:rPr>
                <w:rFonts w:cs="Arial"/>
                <w:sz w:val="22"/>
                <w:szCs w:val="22"/>
              </w:rPr>
            </w:pPr>
            <w:r w:rsidRPr="007426D8">
              <w:rPr>
                <w:rFonts w:cs="Arial"/>
                <w:sz w:val="22"/>
                <w:szCs w:val="22"/>
              </w:rPr>
              <w:t>3.333</w:t>
            </w:r>
          </w:p>
        </w:tc>
      </w:tr>
      <w:tr w:rsidR="00B80FC5" w:rsidRPr="007426D8" w:rsidTr="006C2D30">
        <w:trPr>
          <w:trHeight w:val="688"/>
        </w:trPr>
        <w:tc>
          <w:tcPr>
            <w:tcW w:w="1803" w:type="dxa"/>
            <w:vAlign w:val="center"/>
          </w:tcPr>
          <w:p w:rsidR="00B80FC5" w:rsidRPr="007426D8" w:rsidRDefault="00B80FC5" w:rsidP="007426D8">
            <w:pPr>
              <w:spacing w:after="0"/>
              <w:rPr>
                <w:rFonts w:cs="Arial"/>
                <w:b/>
                <w:sz w:val="22"/>
                <w:szCs w:val="22"/>
              </w:rPr>
            </w:pPr>
            <w:r w:rsidRPr="007426D8">
              <w:rPr>
                <w:rFonts w:cs="Arial"/>
                <w:b/>
                <w:sz w:val="22"/>
                <w:szCs w:val="22"/>
              </w:rPr>
              <w:t>Change</w:t>
            </w:r>
          </w:p>
        </w:tc>
        <w:tc>
          <w:tcPr>
            <w:tcW w:w="1803" w:type="dxa"/>
            <w:vAlign w:val="center"/>
          </w:tcPr>
          <w:p w:rsidR="00B80FC5" w:rsidRPr="007426D8" w:rsidRDefault="00B80FC5" w:rsidP="007426D8">
            <w:pPr>
              <w:spacing w:after="0"/>
              <w:jc w:val="center"/>
              <w:rPr>
                <w:rFonts w:cs="Arial"/>
                <w:sz w:val="22"/>
                <w:szCs w:val="22"/>
              </w:rPr>
            </w:pPr>
            <w:r w:rsidRPr="007426D8">
              <w:rPr>
                <w:rFonts w:cs="Arial"/>
                <w:sz w:val="22"/>
                <w:szCs w:val="22"/>
              </w:rPr>
              <w:t>0.</w:t>
            </w:r>
            <w:r w:rsidR="00602474" w:rsidRPr="007426D8">
              <w:rPr>
                <w:rFonts w:cs="Arial"/>
                <w:sz w:val="22"/>
                <w:szCs w:val="22"/>
              </w:rPr>
              <w:t>169</w:t>
            </w:r>
          </w:p>
        </w:tc>
        <w:tc>
          <w:tcPr>
            <w:tcW w:w="1803" w:type="dxa"/>
            <w:vAlign w:val="center"/>
          </w:tcPr>
          <w:p w:rsidR="00B80FC5" w:rsidRPr="007426D8" w:rsidRDefault="00935FA0" w:rsidP="007426D8">
            <w:pPr>
              <w:spacing w:after="0"/>
              <w:jc w:val="center"/>
              <w:rPr>
                <w:rFonts w:cs="Arial"/>
                <w:sz w:val="22"/>
                <w:szCs w:val="22"/>
              </w:rPr>
            </w:pPr>
            <w:r>
              <w:rPr>
                <w:rFonts w:cs="Arial"/>
                <w:sz w:val="22"/>
                <w:szCs w:val="22"/>
              </w:rPr>
              <w:t>0.537</w:t>
            </w:r>
          </w:p>
        </w:tc>
        <w:tc>
          <w:tcPr>
            <w:tcW w:w="1803" w:type="dxa"/>
            <w:vAlign w:val="center"/>
          </w:tcPr>
          <w:p w:rsidR="00B80FC5" w:rsidRPr="007426D8" w:rsidRDefault="00B80FC5" w:rsidP="007426D8">
            <w:pPr>
              <w:spacing w:after="0"/>
              <w:jc w:val="center"/>
              <w:rPr>
                <w:rFonts w:cs="Arial"/>
                <w:sz w:val="22"/>
                <w:szCs w:val="22"/>
              </w:rPr>
            </w:pPr>
            <w:r w:rsidRPr="007426D8">
              <w:rPr>
                <w:rFonts w:cs="Arial"/>
                <w:sz w:val="22"/>
                <w:szCs w:val="22"/>
              </w:rPr>
              <w:t>-1.525</w:t>
            </w:r>
          </w:p>
        </w:tc>
        <w:tc>
          <w:tcPr>
            <w:tcW w:w="1804" w:type="dxa"/>
            <w:vAlign w:val="center"/>
          </w:tcPr>
          <w:p w:rsidR="00B80FC5" w:rsidRPr="007426D8" w:rsidRDefault="00935FA0" w:rsidP="007426D8">
            <w:pPr>
              <w:spacing w:after="0"/>
              <w:jc w:val="center"/>
              <w:rPr>
                <w:rFonts w:cs="Arial"/>
                <w:sz w:val="22"/>
                <w:szCs w:val="22"/>
              </w:rPr>
            </w:pPr>
            <w:r>
              <w:rPr>
                <w:rFonts w:cs="Arial"/>
                <w:sz w:val="22"/>
                <w:szCs w:val="22"/>
              </w:rPr>
              <w:t>-1.667</w:t>
            </w:r>
          </w:p>
        </w:tc>
      </w:tr>
      <w:tr w:rsidR="00B80FC5" w:rsidRPr="007426D8" w:rsidTr="006C2D30">
        <w:trPr>
          <w:trHeight w:val="838"/>
        </w:trPr>
        <w:tc>
          <w:tcPr>
            <w:tcW w:w="1803" w:type="dxa"/>
            <w:shd w:val="clear" w:color="auto" w:fill="BFBFBF" w:themeFill="background1" w:themeFillShade="BF"/>
            <w:vAlign w:val="center"/>
          </w:tcPr>
          <w:p w:rsidR="00B80FC5" w:rsidRPr="007426D8" w:rsidRDefault="00B80FC5" w:rsidP="007426D8">
            <w:pPr>
              <w:spacing w:after="0"/>
              <w:jc w:val="left"/>
              <w:rPr>
                <w:rFonts w:cs="Arial"/>
                <w:b/>
                <w:sz w:val="22"/>
                <w:szCs w:val="22"/>
              </w:rPr>
            </w:pPr>
            <w:r w:rsidRPr="007426D8">
              <w:rPr>
                <w:rFonts w:cs="Arial"/>
                <w:b/>
                <w:sz w:val="22"/>
                <w:szCs w:val="22"/>
              </w:rPr>
              <w:t>Impact</w:t>
            </w:r>
            <w:r w:rsidR="0098497E" w:rsidRPr="007426D8">
              <w:rPr>
                <w:rFonts w:cs="Arial"/>
                <w:b/>
                <w:sz w:val="22"/>
                <w:szCs w:val="22"/>
              </w:rPr>
              <w:t xml:space="preserve"> </w:t>
            </w:r>
            <w:r w:rsidRPr="007426D8">
              <w:rPr>
                <w:rFonts w:cs="Arial"/>
                <w:b/>
                <w:sz w:val="22"/>
                <w:szCs w:val="22"/>
              </w:rPr>
              <w:t>on MTFS</w:t>
            </w:r>
            <w:r w:rsidR="00A47041" w:rsidRPr="007426D8">
              <w:rPr>
                <w:rFonts w:cs="Arial"/>
                <w:b/>
                <w:sz w:val="22"/>
                <w:szCs w:val="22"/>
              </w:rPr>
              <w:t xml:space="preserve"> Funding Gap</w:t>
            </w:r>
          </w:p>
        </w:tc>
        <w:tc>
          <w:tcPr>
            <w:tcW w:w="1803" w:type="dxa"/>
            <w:shd w:val="clear" w:color="auto" w:fill="BFBFBF" w:themeFill="background1" w:themeFillShade="BF"/>
            <w:vAlign w:val="center"/>
          </w:tcPr>
          <w:p w:rsidR="00B80FC5" w:rsidRPr="007426D8" w:rsidRDefault="007B25C2" w:rsidP="007426D8">
            <w:pPr>
              <w:spacing w:after="0"/>
              <w:jc w:val="center"/>
              <w:rPr>
                <w:rFonts w:cs="Arial"/>
                <w:b/>
                <w:sz w:val="22"/>
                <w:szCs w:val="22"/>
              </w:rPr>
            </w:pPr>
            <w:r w:rsidRPr="007426D8">
              <w:rPr>
                <w:rFonts w:cs="Arial"/>
                <w:b/>
                <w:sz w:val="22"/>
                <w:szCs w:val="22"/>
              </w:rPr>
              <w:t>-</w:t>
            </w:r>
            <w:r w:rsidR="00B80FC5" w:rsidRPr="007426D8">
              <w:rPr>
                <w:rFonts w:cs="Arial"/>
                <w:b/>
                <w:sz w:val="22"/>
                <w:szCs w:val="22"/>
              </w:rPr>
              <w:t>0.</w:t>
            </w:r>
            <w:r w:rsidR="00602474" w:rsidRPr="007426D8">
              <w:rPr>
                <w:rFonts w:cs="Arial"/>
                <w:b/>
                <w:sz w:val="22"/>
                <w:szCs w:val="22"/>
              </w:rPr>
              <w:t>169</w:t>
            </w:r>
          </w:p>
        </w:tc>
        <w:tc>
          <w:tcPr>
            <w:tcW w:w="1803" w:type="dxa"/>
            <w:shd w:val="clear" w:color="auto" w:fill="BFBFBF" w:themeFill="background1" w:themeFillShade="BF"/>
            <w:vAlign w:val="center"/>
          </w:tcPr>
          <w:p w:rsidR="00B80FC5" w:rsidRPr="007426D8" w:rsidRDefault="007B25C2" w:rsidP="007426D8">
            <w:pPr>
              <w:spacing w:after="0"/>
              <w:jc w:val="center"/>
              <w:rPr>
                <w:rFonts w:cs="Arial"/>
                <w:b/>
                <w:sz w:val="22"/>
                <w:szCs w:val="22"/>
              </w:rPr>
            </w:pPr>
            <w:r w:rsidRPr="007426D8">
              <w:rPr>
                <w:rFonts w:cs="Arial"/>
                <w:b/>
                <w:sz w:val="22"/>
                <w:szCs w:val="22"/>
              </w:rPr>
              <w:t>-</w:t>
            </w:r>
            <w:r w:rsidR="00935FA0">
              <w:rPr>
                <w:rFonts w:cs="Arial"/>
                <w:b/>
                <w:sz w:val="22"/>
                <w:szCs w:val="22"/>
              </w:rPr>
              <w:t>0.368</w:t>
            </w:r>
          </w:p>
        </w:tc>
        <w:tc>
          <w:tcPr>
            <w:tcW w:w="1803" w:type="dxa"/>
            <w:shd w:val="clear" w:color="auto" w:fill="BFBFBF" w:themeFill="background1" w:themeFillShade="BF"/>
            <w:vAlign w:val="center"/>
          </w:tcPr>
          <w:p w:rsidR="00B80FC5" w:rsidRPr="007426D8" w:rsidRDefault="00935FA0" w:rsidP="007426D8">
            <w:pPr>
              <w:spacing w:after="0"/>
              <w:jc w:val="center"/>
              <w:rPr>
                <w:rFonts w:cs="Arial"/>
                <w:b/>
                <w:sz w:val="22"/>
                <w:szCs w:val="22"/>
              </w:rPr>
            </w:pPr>
            <w:r>
              <w:rPr>
                <w:rFonts w:cs="Arial"/>
                <w:b/>
                <w:sz w:val="22"/>
                <w:szCs w:val="22"/>
              </w:rPr>
              <w:t>2.062</w:t>
            </w:r>
          </w:p>
        </w:tc>
        <w:tc>
          <w:tcPr>
            <w:tcW w:w="1804" w:type="dxa"/>
            <w:shd w:val="clear" w:color="auto" w:fill="BFBFBF" w:themeFill="background1" w:themeFillShade="BF"/>
            <w:vAlign w:val="center"/>
          </w:tcPr>
          <w:p w:rsidR="00B80FC5" w:rsidRPr="007426D8" w:rsidRDefault="00935FA0" w:rsidP="007426D8">
            <w:pPr>
              <w:spacing w:after="0"/>
              <w:jc w:val="center"/>
              <w:rPr>
                <w:rFonts w:cs="Arial"/>
                <w:b/>
                <w:sz w:val="22"/>
                <w:szCs w:val="22"/>
              </w:rPr>
            </w:pPr>
            <w:r>
              <w:rPr>
                <w:rFonts w:cs="Arial"/>
                <w:b/>
                <w:sz w:val="22"/>
                <w:szCs w:val="22"/>
              </w:rPr>
              <w:t>0.142</w:t>
            </w:r>
          </w:p>
        </w:tc>
      </w:tr>
    </w:tbl>
    <w:p w:rsidR="00B80FC5" w:rsidRPr="008D5D96" w:rsidRDefault="00B80FC5" w:rsidP="008D5D96">
      <w:pPr>
        <w:tabs>
          <w:tab w:val="left" w:pos="567"/>
          <w:tab w:val="left" w:pos="1134"/>
        </w:tabs>
        <w:spacing w:after="0"/>
        <w:rPr>
          <w:rFonts w:cs="Arial"/>
        </w:rPr>
      </w:pPr>
    </w:p>
    <w:p w:rsidR="007B6105" w:rsidRPr="008D5D96" w:rsidRDefault="008132C9" w:rsidP="008D5D96">
      <w:pPr>
        <w:tabs>
          <w:tab w:val="left" w:pos="567"/>
          <w:tab w:val="left" w:pos="1134"/>
        </w:tabs>
        <w:spacing w:after="0"/>
        <w:rPr>
          <w:rFonts w:cs="Arial"/>
          <w:b/>
        </w:rPr>
      </w:pPr>
      <w:r w:rsidRPr="008D5D96">
        <w:rPr>
          <w:rFonts w:cs="Arial"/>
          <w:b/>
        </w:rPr>
        <w:t>2.</w:t>
      </w:r>
      <w:r w:rsidR="00391EC0">
        <w:rPr>
          <w:rFonts w:cs="Arial"/>
          <w:b/>
        </w:rPr>
        <w:t>7</w:t>
      </w:r>
      <w:r w:rsidR="00391EC0" w:rsidRPr="008D5D96">
        <w:rPr>
          <w:rFonts w:cs="Arial"/>
          <w:b/>
        </w:rPr>
        <w:t xml:space="preserve"> </w:t>
      </w:r>
      <w:r w:rsidR="00B76843" w:rsidRPr="008D5D96">
        <w:rPr>
          <w:rFonts w:cs="Arial"/>
          <w:b/>
        </w:rPr>
        <w:t xml:space="preserve">Use of </w:t>
      </w:r>
      <w:r w:rsidRPr="008D5D96">
        <w:rPr>
          <w:rFonts w:cs="Arial"/>
          <w:b/>
        </w:rPr>
        <w:t>Capital Receipts</w:t>
      </w:r>
    </w:p>
    <w:p w:rsidR="008132C9" w:rsidRPr="008D5D96" w:rsidRDefault="008132C9" w:rsidP="008D5D96">
      <w:pPr>
        <w:tabs>
          <w:tab w:val="left" w:pos="567"/>
          <w:tab w:val="left" w:pos="1134"/>
        </w:tabs>
        <w:spacing w:after="0"/>
        <w:rPr>
          <w:rFonts w:cs="Arial"/>
        </w:rPr>
      </w:pPr>
    </w:p>
    <w:p w:rsidR="008132C9" w:rsidRPr="008D5D96" w:rsidRDefault="008132C9" w:rsidP="008D5D96">
      <w:pPr>
        <w:tabs>
          <w:tab w:val="left" w:pos="567"/>
          <w:tab w:val="left" w:pos="1134"/>
        </w:tabs>
        <w:spacing w:after="0"/>
        <w:rPr>
          <w:rFonts w:cs="Arial"/>
        </w:rPr>
      </w:pPr>
      <w:r w:rsidRPr="008D5D96">
        <w:rPr>
          <w:rFonts w:cs="Arial"/>
        </w:rPr>
        <w:t xml:space="preserve">As part of the Autumn Statement the </w:t>
      </w:r>
      <w:r w:rsidR="00B76843" w:rsidRPr="008D5D96">
        <w:rPr>
          <w:rFonts w:cs="Arial"/>
        </w:rPr>
        <w:t>Chancellor of the Exchequer</w:t>
      </w:r>
      <w:r w:rsidRPr="008D5D96">
        <w:rPr>
          <w:rFonts w:cs="Arial"/>
        </w:rPr>
        <w:t xml:space="preserve"> announced </w:t>
      </w:r>
      <w:r w:rsidR="00CE42AC" w:rsidRPr="008D5D96">
        <w:rPr>
          <w:rFonts w:cs="Arial"/>
        </w:rPr>
        <w:t>that the</w:t>
      </w:r>
      <w:r w:rsidRPr="008D5D96">
        <w:rPr>
          <w:rFonts w:cs="Arial"/>
        </w:rPr>
        <w:t xml:space="preserve"> rules for the use of capital receipts</w:t>
      </w:r>
      <w:r w:rsidR="00B76843" w:rsidRPr="008D5D96">
        <w:rPr>
          <w:rFonts w:cs="Arial"/>
        </w:rPr>
        <w:t>,</w:t>
      </w:r>
      <w:r w:rsidR="00CE42AC" w:rsidRPr="008D5D96">
        <w:rPr>
          <w:rFonts w:cs="Arial"/>
        </w:rPr>
        <w:t xml:space="preserve"> </w:t>
      </w:r>
      <w:r w:rsidR="00935FA0">
        <w:rPr>
          <w:rFonts w:cs="Arial"/>
        </w:rPr>
        <w:t>which is</w:t>
      </w:r>
      <w:r w:rsidRPr="008D5D96">
        <w:rPr>
          <w:rFonts w:cs="Arial"/>
        </w:rPr>
        <w:t xml:space="preserve"> the income received from the sale of the </w:t>
      </w:r>
      <w:r w:rsidR="000A4469">
        <w:rPr>
          <w:rFonts w:cs="Arial"/>
        </w:rPr>
        <w:t>County Council's</w:t>
      </w:r>
      <w:r w:rsidRPr="008D5D96">
        <w:rPr>
          <w:rFonts w:cs="Arial"/>
        </w:rPr>
        <w:t xml:space="preserve"> fixed assets</w:t>
      </w:r>
      <w:r w:rsidR="00B76843" w:rsidRPr="008D5D96">
        <w:rPr>
          <w:rFonts w:cs="Arial"/>
        </w:rPr>
        <w:t>, were to be amen</w:t>
      </w:r>
      <w:r w:rsidR="000A4469">
        <w:rPr>
          <w:rFonts w:cs="Arial"/>
        </w:rPr>
        <w:t>ded to help local authorities</w:t>
      </w:r>
      <w:r w:rsidR="00B76843" w:rsidRPr="008D5D96">
        <w:rPr>
          <w:rFonts w:cs="Arial"/>
        </w:rPr>
        <w:t xml:space="preserve"> deliver more efficient and sustainable services.</w:t>
      </w:r>
      <w:r w:rsidRPr="008D5D96">
        <w:rPr>
          <w:rFonts w:cs="Arial"/>
        </w:rPr>
        <w:t xml:space="preserve"> Currently the use of capital receipts is restricted to the funding of capital expenditure or the repayment of debt. From 1 April 2016 it is proposed that capital receipts can be used to fund revenue expenditure which meets certain criteria. </w:t>
      </w:r>
    </w:p>
    <w:p w:rsidR="008132C9" w:rsidRPr="008D5D96" w:rsidRDefault="008132C9" w:rsidP="008D5D96">
      <w:pPr>
        <w:tabs>
          <w:tab w:val="left" w:pos="567"/>
          <w:tab w:val="left" w:pos="1134"/>
        </w:tabs>
        <w:spacing w:after="0"/>
        <w:rPr>
          <w:rFonts w:cs="Arial"/>
        </w:rPr>
      </w:pPr>
    </w:p>
    <w:p w:rsidR="008132C9" w:rsidRPr="008D5D96" w:rsidRDefault="008132C9" w:rsidP="008D5D96">
      <w:pPr>
        <w:tabs>
          <w:tab w:val="left" w:pos="567"/>
          <w:tab w:val="left" w:pos="1134"/>
        </w:tabs>
        <w:spacing w:after="0"/>
        <w:rPr>
          <w:rFonts w:cs="Arial"/>
        </w:rPr>
      </w:pPr>
      <w:r w:rsidRPr="008D5D96">
        <w:rPr>
          <w:rFonts w:cs="Arial"/>
        </w:rPr>
        <w:t>To meet the qualifying crit</w:t>
      </w:r>
      <w:r w:rsidR="0098497E">
        <w:rPr>
          <w:rFonts w:cs="Arial"/>
        </w:rPr>
        <w:t xml:space="preserve">eria the revenue expenditure needs </w:t>
      </w:r>
      <w:r w:rsidRPr="008D5D96">
        <w:rPr>
          <w:rFonts w:cs="Arial"/>
        </w:rPr>
        <w:t>to be on any project which is designed to generate ongoing revenue savings or to transform the service so as to make savings or improve the quality of service provision.</w:t>
      </w:r>
    </w:p>
    <w:p w:rsidR="008132C9" w:rsidRPr="008D5D96" w:rsidRDefault="008132C9" w:rsidP="008D5D96">
      <w:pPr>
        <w:tabs>
          <w:tab w:val="left" w:pos="567"/>
          <w:tab w:val="left" w:pos="1134"/>
        </w:tabs>
        <w:spacing w:after="0"/>
        <w:rPr>
          <w:rFonts w:cs="Arial"/>
        </w:rPr>
      </w:pPr>
    </w:p>
    <w:p w:rsidR="00C029A5" w:rsidRDefault="000663E0" w:rsidP="008D5D96">
      <w:pPr>
        <w:tabs>
          <w:tab w:val="left" w:pos="567"/>
          <w:tab w:val="left" w:pos="1134"/>
        </w:tabs>
        <w:spacing w:after="0"/>
        <w:rPr>
          <w:rFonts w:cs="Arial"/>
        </w:rPr>
      </w:pPr>
      <w:r w:rsidRPr="008D5D96">
        <w:rPr>
          <w:rFonts w:cs="Arial"/>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reform. </w:t>
      </w:r>
    </w:p>
    <w:p w:rsidR="00C029A5" w:rsidRDefault="00C029A5" w:rsidP="008D5D96">
      <w:pPr>
        <w:tabs>
          <w:tab w:val="left" w:pos="567"/>
          <w:tab w:val="left" w:pos="1134"/>
        </w:tabs>
        <w:spacing w:after="0"/>
        <w:rPr>
          <w:rFonts w:cs="Arial"/>
        </w:rPr>
      </w:pPr>
    </w:p>
    <w:p w:rsidR="000663E0" w:rsidRDefault="000663E0" w:rsidP="008D5D96">
      <w:pPr>
        <w:tabs>
          <w:tab w:val="left" w:pos="567"/>
          <w:tab w:val="left" w:pos="1134"/>
        </w:tabs>
        <w:spacing w:after="0"/>
        <w:rPr>
          <w:rFonts w:cs="Arial"/>
        </w:rPr>
      </w:pPr>
      <w:r w:rsidRPr="008D5D96">
        <w:rPr>
          <w:rFonts w:cs="Arial"/>
        </w:rPr>
        <w:t>Current estimates of the capital receipts to be generated are:</w:t>
      </w:r>
    </w:p>
    <w:p w:rsidR="009E4733" w:rsidRDefault="009E4733" w:rsidP="008D5D96">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2246"/>
        <w:gridCol w:w="2246"/>
        <w:gridCol w:w="2246"/>
        <w:gridCol w:w="2246"/>
      </w:tblGrid>
      <w:tr w:rsidR="001E727E" w:rsidRPr="00396E00" w:rsidTr="00396E00">
        <w:trPr>
          <w:trHeight w:val="236"/>
        </w:trPr>
        <w:tc>
          <w:tcPr>
            <w:tcW w:w="2246" w:type="dxa"/>
            <w:shd w:val="clear" w:color="auto" w:fill="BFBFBF" w:themeFill="background1" w:themeFillShade="BF"/>
          </w:tcPr>
          <w:p w:rsidR="001E727E" w:rsidRPr="00396E00" w:rsidRDefault="001E727E" w:rsidP="008D5D96">
            <w:pPr>
              <w:tabs>
                <w:tab w:val="left" w:pos="567"/>
                <w:tab w:val="left" w:pos="1134"/>
              </w:tabs>
              <w:spacing w:after="0"/>
              <w:rPr>
                <w:rFonts w:cs="Arial"/>
                <w:b/>
                <w:sz w:val="22"/>
                <w:szCs w:val="22"/>
              </w:rPr>
            </w:pPr>
          </w:p>
        </w:tc>
        <w:tc>
          <w:tcPr>
            <w:tcW w:w="2246" w:type="dxa"/>
            <w:shd w:val="clear" w:color="auto" w:fill="BFBFBF" w:themeFill="background1" w:themeFillShade="BF"/>
          </w:tcPr>
          <w:p w:rsidR="001E727E" w:rsidRPr="00396E00" w:rsidRDefault="001E727E" w:rsidP="008D5D96">
            <w:pPr>
              <w:tabs>
                <w:tab w:val="left" w:pos="567"/>
                <w:tab w:val="left" w:pos="1134"/>
              </w:tabs>
              <w:spacing w:after="0"/>
              <w:jc w:val="center"/>
              <w:rPr>
                <w:rFonts w:cs="Arial"/>
                <w:b/>
                <w:sz w:val="22"/>
                <w:szCs w:val="22"/>
              </w:rPr>
            </w:pPr>
            <w:r w:rsidRPr="00396E00">
              <w:rPr>
                <w:rFonts w:cs="Arial"/>
                <w:b/>
                <w:sz w:val="22"/>
                <w:szCs w:val="22"/>
              </w:rPr>
              <w:t>2016/17</w:t>
            </w:r>
          </w:p>
          <w:p w:rsidR="00396E00" w:rsidRPr="00396E00" w:rsidRDefault="00396E00" w:rsidP="008D5D96">
            <w:pPr>
              <w:tabs>
                <w:tab w:val="left" w:pos="567"/>
                <w:tab w:val="left" w:pos="1134"/>
              </w:tabs>
              <w:spacing w:after="0"/>
              <w:jc w:val="center"/>
              <w:rPr>
                <w:rFonts w:cs="Arial"/>
                <w:b/>
                <w:sz w:val="22"/>
                <w:szCs w:val="22"/>
              </w:rPr>
            </w:pPr>
            <w:r w:rsidRPr="00396E00">
              <w:rPr>
                <w:rFonts w:cs="Arial"/>
                <w:b/>
                <w:sz w:val="22"/>
                <w:szCs w:val="22"/>
              </w:rPr>
              <w:t>£m</w:t>
            </w:r>
          </w:p>
        </w:tc>
        <w:tc>
          <w:tcPr>
            <w:tcW w:w="2246" w:type="dxa"/>
            <w:shd w:val="clear" w:color="auto" w:fill="BFBFBF" w:themeFill="background1" w:themeFillShade="BF"/>
          </w:tcPr>
          <w:p w:rsidR="001E727E" w:rsidRPr="00396E00" w:rsidRDefault="001E727E" w:rsidP="008D5D96">
            <w:pPr>
              <w:tabs>
                <w:tab w:val="left" w:pos="567"/>
                <w:tab w:val="left" w:pos="1134"/>
              </w:tabs>
              <w:spacing w:after="0"/>
              <w:jc w:val="center"/>
              <w:rPr>
                <w:rFonts w:cs="Arial"/>
                <w:b/>
                <w:sz w:val="22"/>
                <w:szCs w:val="22"/>
              </w:rPr>
            </w:pPr>
            <w:r w:rsidRPr="00396E00">
              <w:rPr>
                <w:rFonts w:cs="Arial"/>
                <w:b/>
                <w:sz w:val="22"/>
                <w:szCs w:val="22"/>
              </w:rPr>
              <w:t>2017/18</w:t>
            </w:r>
          </w:p>
          <w:p w:rsidR="00396E00" w:rsidRPr="00396E00" w:rsidRDefault="00396E00" w:rsidP="008D5D96">
            <w:pPr>
              <w:tabs>
                <w:tab w:val="left" w:pos="567"/>
                <w:tab w:val="left" w:pos="1134"/>
              </w:tabs>
              <w:spacing w:after="0"/>
              <w:jc w:val="center"/>
              <w:rPr>
                <w:rFonts w:cs="Arial"/>
                <w:b/>
                <w:sz w:val="22"/>
                <w:szCs w:val="22"/>
              </w:rPr>
            </w:pPr>
            <w:r w:rsidRPr="00396E00">
              <w:rPr>
                <w:rFonts w:cs="Arial"/>
                <w:b/>
                <w:sz w:val="22"/>
                <w:szCs w:val="22"/>
              </w:rPr>
              <w:t>£m</w:t>
            </w:r>
          </w:p>
        </w:tc>
        <w:tc>
          <w:tcPr>
            <w:tcW w:w="2246" w:type="dxa"/>
            <w:shd w:val="clear" w:color="auto" w:fill="BFBFBF" w:themeFill="background1" w:themeFillShade="BF"/>
          </w:tcPr>
          <w:p w:rsidR="001E727E" w:rsidRPr="00396E00" w:rsidRDefault="001E727E" w:rsidP="008D5D96">
            <w:pPr>
              <w:tabs>
                <w:tab w:val="left" w:pos="567"/>
                <w:tab w:val="left" w:pos="1134"/>
              </w:tabs>
              <w:spacing w:after="0"/>
              <w:jc w:val="center"/>
              <w:rPr>
                <w:rFonts w:cs="Arial"/>
                <w:b/>
                <w:sz w:val="22"/>
                <w:szCs w:val="22"/>
              </w:rPr>
            </w:pPr>
            <w:r w:rsidRPr="00396E00">
              <w:rPr>
                <w:rFonts w:cs="Arial"/>
                <w:b/>
                <w:sz w:val="22"/>
                <w:szCs w:val="22"/>
              </w:rPr>
              <w:t>2018/19</w:t>
            </w:r>
          </w:p>
          <w:p w:rsidR="00396E00" w:rsidRPr="00396E00" w:rsidRDefault="00396E00" w:rsidP="008D5D96">
            <w:pPr>
              <w:tabs>
                <w:tab w:val="left" w:pos="567"/>
                <w:tab w:val="left" w:pos="1134"/>
              </w:tabs>
              <w:spacing w:after="0"/>
              <w:jc w:val="center"/>
              <w:rPr>
                <w:rFonts w:cs="Arial"/>
                <w:b/>
                <w:sz w:val="22"/>
                <w:szCs w:val="22"/>
              </w:rPr>
            </w:pPr>
            <w:r w:rsidRPr="00396E00">
              <w:rPr>
                <w:rFonts w:cs="Arial"/>
                <w:b/>
                <w:sz w:val="22"/>
                <w:szCs w:val="22"/>
              </w:rPr>
              <w:t>£m</w:t>
            </w:r>
          </w:p>
        </w:tc>
      </w:tr>
      <w:tr w:rsidR="001E727E" w:rsidRPr="00396E00" w:rsidTr="00396E00">
        <w:trPr>
          <w:trHeight w:val="579"/>
        </w:trPr>
        <w:tc>
          <w:tcPr>
            <w:tcW w:w="2246" w:type="dxa"/>
            <w:vAlign w:val="center"/>
          </w:tcPr>
          <w:p w:rsidR="001E727E" w:rsidRPr="00396E00" w:rsidRDefault="001E727E" w:rsidP="008D5D96">
            <w:pPr>
              <w:tabs>
                <w:tab w:val="left" w:pos="567"/>
                <w:tab w:val="left" w:pos="1134"/>
              </w:tabs>
              <w:spacing w:after="0"/>
              <w:jc w:val="left"/>
              <w:rPr>
                <w:rFonts w:cs="Arial"/>
                <w:b/>
                <w:sz w:val="22"/>
                <w:szCs w:val="22"/>
              </w:rPr>
            </w:pPr>
            <w:r w:rsidRPr="00396E00">
              <w:rPr>
                <w:rFonts w:cs="Arial"/>
                <w:b/>
                <w:sz w:val="22"/>
                <w:szCs w:val="22"/>
              </w:rPr>
              <w:t>Capital receipts generated</w:t>
            </w:r>
          </w:p>
        </w:tc>
        <w:tc>
          <w:tcPr>
            <w:tcW w:w="2246" w:type="dxa"/>
            <w:vAlign w:val="center"/>
          </w:tcPr>
          <w:p w:rsidR="001E727E" w:rsidRPr="00396E00" w:rsidRDefault="00ED1816" w:rsidP="008D5D96">
            <w:pPr>
              <w:tabs>
                <w:tab w:val="left" w:pos="567"/>
                <w:tab w:val="left" w:pos="1134"/>
              </w:tabs>
              <w:spacing w:after="0"/>
              <w:jc w:val="center"/>
              <w:rPr>
                <w:rFonts w:cs="Arial"/>
                <w:sz w:val="22"/>
                <w:szCs w:val="22"/>
              </w:rPr>
            </w:pPr>
            <w:r w:rsidRPr="00396E00">
              <w:rPr>
                <w:rFonts w:cs="Arial"/>
                <w:sz w:val="22"/>
                <w:szCs w:val="22"/>
              </w:rPr>
              <w:t>5.0</w:t>
            </w:r>
          </w:p>
        </w:tc>
        <w:tc>
          <w:tcPr>
            <w:tcW w:w="2246" w:type="dxa"/>
            <w:vAlign w:val="center"/>
          </w:tcPr>
          <w:p w:rsidR="001E727E" w:rsidRPr="00396E00" w:rsidRDefault="00ED1816" w:rsidP="008D5D96">
            <w:pPr>
              <w:tabs>
                <w:tab w:val="left" w:pos="567"/>
                <w:tab w:val="left" w:pos="1134"/>
              </w:tabs>
              <w:spacing w:after="0"/>
              <w:jc w:val="center"/>
              <w:rPr>
                <w:rFonts w:cs="Arial"/>
                <w:sz w:val="22"/>
                <w:szCs w:val="22"/>
              </w:rPr>
            </w:pPr>
            <w:r w:rsidRPr="00396E00">
              <w:rPr>
                <w:rFonts w:cs="Arial"/>
                <w:sz w:val="22"/>
                <w:szCs w:val="22"/>
              </w:rPr>
              <w:t>12.5</w:t>
            </w:r>
          </w:p>
        </w:tc>
        <w:tc>
          <w:tcPr>
            <w:tcW w:w="2246" w:type="dxa"/>
            <w:vAlign w:val="center"/>
          </w:tcPr>
          <w:p w:rsidR="001E727E" w:rsidRPr="00396E00" w:rsidRDefault="00ED1816" w:rsidP="008D5D96">
            <w:pPr>
              <w:tabs>
                <w:tab w:val="left" w:pos="567"/>
                <w:tab w:val="left" w:pos="1134"/>
              </w:tabs>
              <w:spacing w:after="0"/>
              <w:jc w:val="center"/>
              <w:rPr>
                <w:rFonts w:cs="Arial"/>
                <w:sz w:val="22"/>
                <w:szCs w:val="22"/>
              </w:rPr>
            </w:pPr>
            <w:r w:rsidRPr="00396E00">
              <w:rPr>
                <w:rFonts w:cs="Arial"/>
                <w:sz w:val="22"/>
                <w:szCs w:val="22"/>
              </w:rPr>
              <w:t>5.0</w:t>
            </w:r>
          </w:p>
        </w:tc>
      </w:tr>
    </w:tbl>
    <w:p w:rsidR="008132C9" w:rsidRPr="008D5D96" w:rsidRDefault="000663E0" w:rsidP="008D5D96">
      <w:pPr>
        <w:tabs>
          <w:tab w:val="left" w:pos="567"/>
          <w:tab w:val="left" w:pos="1134"/>
        </w:tabs>
        <w:spacing w:after="0"/>
        <w:rPr>
          <w:rFonts w:cs="Arial"/>
        </w:rPr>
      </w:pPr>
      <w:r w:rsidRPr="008D5D96">
        <w:rPr>
          <w:rFonts w:cs="Arial"/>
        </w:rPr>
        <w:t xml:space="preserve"> </w:t>
      </w:r>
    </w:p>
    <w:p w:rsidR="000663E0" w:rsidRPr="00472F78" w:rsidRDefault="000663E0" w:rsidP="008D5D96">
      <w:pPr>
        <w:tabs>
          <w:tab w:val="left" w:pos="567"/>
          <w:tab w:val="left" w:pos="1134"/>
        </w:tabs>
        <w:spacing w:after="0"/>
        <w:rPr>
          <w:rFonts w:cs="Arial"/>
        </w:rPr>
      </w:pPr>
      <w:r w:rsidRPr="00472F78">
        <w:rPr>
          <w:rFonts w:cs="Arial"/>
        </w:rPr>
        <w:t>Provided suitable expenditure can be identified an estimated £22.5m can be applied to the revenue budget although this will have an impact on the Capital Programme which will either have to be reduced or be funded from an increased level of borrowing.</w:t>
      </w:r>
    </w:p>
    <w:p w:rsidR="0073587D" w:rsidRPr="00472F78" w:rsidRDefault="0073587D" w:rsidP="008D5D96">
      <w:pPr>
        <w:tabs>
          <w:tab w:val="left" w:pos="567"/>
          <w:tab w:val="left" w:pos="1134"/>
        </w:tabs>
        <w:spacing w:after="0"/>
        <w:rPr>
          <w:rFonts w:cs="Arial"/>
        </w:rPr>
      </w:pPr>
    </w:p>
    <w:p w:rsidR="0073587D" w:rsidRPr="00472F78" w:rsidRDefault="0073587D" w:rsidP="008D5D96">
      <w:pPr>
        <w:tabs>
          <w:tab w:val="left" w:pos="567"/>
          <w:tab w:val="left" w:pos="1134"/>
        </w:tabs>
        <w:spacing w:after="0"/>
        <w:rPr>
          <w:rFonts w:cs="Arial"/>
        </w:rPr>
      </w:pPr>
      <w:r w:rsidRPr="00472F78">
        <w:rPr>
          <w:rFonts w:cs="Arial"/>
        </w:rPr>
        <w:t>It should be noted that the receipts are one-off resources and there is a possibility that the level of receipts to be generated from the sale of assets will not be maintained at these levels for a sustained period of time. 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w:t>
      </w:r>
    </w:p>
    <w:p w:rsidR="007F4050" w:rsidRPr="00472F78" w:rsidRDefault="007F4050" w:rsidP="008D5D96">
      <w:pPr>
        <w:tabs>
          <w:tab w:val="left" w:pos="567"/>
          <w:tab w:val="left" w:pos="1134"/>
        </w:tabs>
        <w:spacing w:after="0"/>
        <w:rPr>
          <w:rFonts w:cs="Arial"/>
        </w:rPr>
      </w:pPr>
    </w:p>
    <w:p w:rsidR="007F4050" w:rsidRPr="00472F78" w:rsidRDefault="007F4050" w:rsidP="008D5D96">
      <w:pPr>
        <w:tabs>
          <w:tab w:val="left" w:pos="567"/>
          <w:tab w:val="left" w:pos="1134"/>
        </w:tabs>
        <w:spacing w:after="0"/>
        <w:rPr>
          <w:rFonts w:cs="Arial"/>
        </w:rPr>
      </w:pPr>
      <w:r w:rsidRPr="00472F78">
        <w:rPr>
          <w:rFonts w:cs="Arial"/>
        </w:rPr>
        <w:lastRenderedPageBreak/>
        <w:t>The funding gap shown in section 1.1</w:t>
      </w:r>
      <w:r w:rsidR="0098497E" w:rsidRPr="00472F78">
        <w:rPr>
          <w:rFonts w:cs="Arial"/>
        </w:rPr>
        <w:t xml:space="preserve"> already</w:t>
      </w:r>
      <w:r w:rsidRPr="00472F78">
        <w:rPr>
          <w:rFonts w:cs="Arial"/>
        </w:rPr>
        <w:t xml:space="preserve"> </w:t>
      </w:r>
      <w:r w:rsidR="000B2AE1" w:rsidRPr="00472F78">
        <w:rPr>
          <w:rFonts w:cs="Arial"/>
        </w:rPr>
        <w:t xml:space="preserve">assumes </w:t>
      </w:r>
      <w:r w:rsidRPr="00472F78">
        <w:rPr>
          <w:rFonts w:cs="Arial"/>
        </w:rPr>
        <w:t>the use of these receipts</w:t>
      </w:r>
      <w:r w:rsidR="0098497E" w:rsidRPr="00472F78">
        <w:rPr>
          <w:rFonts w:cs="Arial"/>
        </w:rPr>
        <w:t>.</w:t>
      </w:r>
      <w:r w:rsidR="000B2AE1" w:rsidRPr="00472F78">
        <w:rPr>
          <w:rFonts w:cs="Arial"/>
        </w:rPr>
        <w:t xml:space="preserve"> </w:t>
      </w:r>
      <w:r w:rsidR="0098497E" w:rsidRPr="00472F78">
        <w:rPr>
          <w:rFonts w:cs="Arial"/>
        </w:rPr>
        <w:t>This</w:t>
      </w:r>
      <w:r w:rsidRPr="00472F78">
        <w:rPr>
          <w:rFonts w:cs="Arial"/>
        </w:rPr>
        <w:t xml:space="preserve"> is subject to the approval of the recommendation </w:t>
      </w:r>
      <w:r w:rsidR="00432795" w:rsidRPr="00472F78">
        <w:rPr>
          <w:rFonts w:cs="Arial"/>
        </w:rPr>
        <w:t xml:space="preserve">that </w:t>
      </w:r>
      <w:r w:rsidRPr="00472F78">
        <w:rPr>
          <w:rFonts w:cs="Arial"/>
        </w:rPr>
        <w:t>the capital receipts</w:t>
      </w:r>
      <w:r w:rsidR="00432795" w:rsidRPr="00472F78">
        <w:rPr>
          <w:rFonts w:cs="Arial"/>
        </w:rPr>
        <w:t xml:space="preserve"> are </w:t>
      </w:r>
      <w:proofErr w:type="gramStart"/>
      <w:r w:rsidR="00432795" w:rsidRPr="00472F78">
        <w:rPr>
          <w:rFonts w:cs="Arial"/>
        </w:rPr>
        <w:t xml:space="preserve">applied </w:t>
      </w:r>
      <w:r w:rsidRPr="00472F78">
        <w:rPr>
          <w:rFonts w:cs="Arial"/>
        </w:rPr>
        <w:t xml:space="preserve"> </w:t>
      </w:r>
      <w:r w:rsidR="00432795" w:rsidRPr="00472F78">
        <w:rPr>
          <w:rFonts w:cs="Arial"/>
        </w:rPr>
        <w:t>to</w:t>
      </w:r>
      <w:proofErr w:type="gramEnd"/>
      <w:r w:rsidR="00432795" w:rsidRPr="00472F78">
        <w:rPr>
          <w:rFonts w:cs="Arial"/>
        </w:rPr>
        <w:t xml:space="preserve"> </w:t>
      </w:r>
      <w:r w:rsidRPr="00472F78">
        <w:rPr>
          <w:rFonts w:cs="Arial"/>
        </w:rPr>
        <w:t>revenue as outlined above.</w:t>
      </w:r>
    </w:p>
    <w:p w:rsidR="00330040" w:rsidRPr="00472F78" w:rsidRDefault="00330040" w:rsidP="008D5D96">
      <w:pPr>
        <w:tabs>
          <w:tab w:val="left" w:pos="567"/>
          <w:tab w:val="left" w:pos="1134"/>
        </w:tabs>
        <w:spacing w:after="0"/>
        <w:rPr>
          <w:rFonts w:cs="Arial"/>
        </w:rPr>
      </w:pPr>
    </w:p>
    <w:p w:rsidR="00330040" w:rsidRPr="00472F78" w:rsidRDefault="00330040" w:rsidP="008D5D96">
      <w:pPr>
        <w:tabs>
          <w:tab w:val="left" w:pos="567"/>
          <w:tab w:val="left" w:pos="1134"/>
        </w:tabs>
        <w:spacing w:after="0"/>
        <w:rPr>
          <w:rFonts w:cs="Arial"/>
          <w:b/>
        </w:rPr>
      </w:pPr>
      <w:r w:rsidRPr="00472F78">
        <w:rPr>
          <w:rFonts w:cs="Arial"/>
          <w:b/>
        </w:rPr>
        <w:t>2.</w:t>
      </w:r>
      <w:r w:rsidR="00391EC0" w:rsidRPr="00472F78">
        <w:rPr>
          <w:rFonts w:cs="Arial"/>
          <w:b/>
        </w:rPr>
        <w:t xml:space="preserve">8 </w:t>
      </w:r>
      <w:r w:rsidRPr="00472F78">
        <w:rPr>
          <w:rFonts w:cs="Arial"/>
          <w:b/>
        </w:rPr>
        <w:t>Council Tax increases</w:t>
      </w:r>
    </w:p>
    <w:p w:rsidR="00330040" w:rsidRPr="00472F78" w:rsidRDefault="00330040" w:rsidP="008D5D96">
      <w:pPr>
        <w:tabs>
          <w:tab w:val="left" w:pos="567"/>
          <w:tab w:val="left" w:pos="1134"/>
        </w:tabs>
        <w:spacing w:after="0"/>
        <w:rPr>
          <w:rFonts w:cs="Arial"/>
          <w:b/>
        </w:rPr>
      </w:pPr>
    </w:p>
    <w:p w:rsidR="000C0795" w:rsidRPr="00472F78" w:rsidRDefault="00330040" w:rsidP="008D5D96">
      <w:pPr>
        <w:tabs>
          <w:tab w:val="left" w:pos="567"/>
          <w:tab w:val="left" w:pos="1134"/>
        </w:tabs>
        <w:spacing w:after="0"/>
        <w:rPr>
          <w:rFonts w:cs="Arial"/>
        </w:rPr>
      </w:pPr>
      <w:r w:rsidRPr="00472F78">
        <w:rPr>
          <w:rFonts w:cs="Arial"/>
        </w:rPr>
        <w:t xml:space="preserve">The Council Tax referendum limit set by the Secretary of State remains at 2%.  However, </w:t>
      </w:r>
      <w:r w:rsidR="00E630AF" w:rsidRPr="00472F78">
        <w:rPr>
          <w:rFonts w:cs="Arial"/>
        </w:rPr>
        <w:t>as an</w:t>
      </w:r>
      <w:r w:rsidRPr="00472F78">
        <w:rPr>
          <w:rFonts w:cs="Arial"/>
        </w:rPr>
        <w:t xml:space="preserve"> authorit</w:t>
      </w:r>
      <w:r w:rsidR="00E630AF" w:rsidRPr="00472F78">
        <w:rPr>
          <w:rFonts w:cs="Arial"/>
        </w:rPr>
        <w:t>y</w:t>
      </w:r>
      <w:r w:rsidRPr="00472F78">
        <w:rPr>
          <w:rFonts w:cs="Arial"/>
        </w:rPr>
        <w:t xml:space="preserve"> with social care responsibilities </w:t>
      </w:r>
      <w:r w:rsidR="00E630AF" w:rsidRPr="00472F78">
        <w:rPr>
          <w:rFonts w:cs="Arial"/>
        </w:rPr>
        <w:t xml:space="preserve">the </w:t>
      </w:r>
      <w:r w:rsidRPr="00472F78">
        <w:rPr>
          <w:rFonts w:cs="Arial"/>
        </w:rPr>
        <w:t>council tax</w:t>
      </w:r>
      <w:r w:rsidR="00E630AF" w:rsidRPr="00472F78">
        <w:rPr>
          <w:rFonts w:cs="Arial"/>
        </w:rPr>
        <w:t xml:space="preserve"> can be increased</w:t>
      </w:r>
      <w:r w:rsidRPr="00472F78">
        <w:rPr>
          <w:rFonts w:cs="Arial"/>
        </w:rPr>
        <w:t xml:space="preserve"> by up to 4%, providing that 2% is </w:t>
      </w:r>
      <w:r w:rsidR="002A3DD0" w:rsidRPr="00472F78">
        <w:rPr>
          <w:rFonts w:cs="Arial"/>
        </w:rPr>
        <w:t xml:space="preserve">used </w:t>
      </w:r>
      <w:r w:rsidRPr="00472F78">
        <w:rPr>
          <w:rFonts w:cs="Arial"/>
        </w:rPr>
        <w:t>for social care.</w:t>
      </w:r>
      <w:r w:rsidR="00E630AF" w:rsidRPr="00472F78">
        <w:rPr>
          <w:rFonts w:cs="Arial"/>
        </w:rPr>
        <w:t xml:space="preserve"> If Lancashire were to increase the Council Tax </w:t>
      </w:r>
      <w:r w:rsidR="00391EC0" w:rsidRPr="00472F78">
        <w:rPr>
          <w:rFonts w:cs="Arial"/>
        </w:rPr>
        <w:t xml:space="preserve">for </w:t>
      </w:r>
      <w:r w:rsidR="00E630AF" w:rsidRPr="00472F78">
        <w:rPr>
          <w:rFonts w:cs="Arial"/>
        </w:rPr>
        <w:t>201</w:t>
      </w:r>
      <w:r w:rsidR="00391EC0" w:rsidRPr="00472F78">
        <w:rPr>
          <w:rFonts w:cs="Arial"/>
        </w:rPr>
        <w:t>6</w:t>
      </w:r>
      <w:r w:rsidR="00E630AF" w:rsidRPr="00472F78">
        <w:rPr>
          <w:rFonts w:cs="Arial"/>
        </w:rPr>
        <w:t>/1</w:t>
      </w:r>
      <w:r w:rsidR="00391EC0" w:rsidRPr="00472F78">
        <w:rPr>
          <w:rFonts w:cs="Arial"/>
        </w:rPr>
        <w:t>7</w:t>
      </w:r>
      <w:r w:rsidR="00E630AF" w:rsidRPr="00472F78">
        <w:rPr>
          <w:rFonts w:cs="Arial"/>
        </w:rPr>
        <w:t xml:space="preserve"> </w:t>
      </w:r>
      <w:r w:rsidR="000E39EC" w:rsidRPr="00472F78">
        <w:rPr>
          <w:rFonts w:cs="Arial"/>
        </w:rPr>
        <w:t xml:space="preserve">by 3.99% then it is estimated that an additional £15.515m would be generated. </w:t>
      </w:r>
    </w:p>
    <w:p w:rsidR="000E39EC" w:rsidRPr="00472F78" w:rsidRDefault="000E39EC" w:rsidP="008D5D96">
      <w:pPr>
        <w:tabs>
          <w:tab w:val="left" w:pos="567"/>
          <w:tab w:val="left" w:pos="1134"/>
        </w:tabs>
        <w:spacing w:after="0"/>
        <w:rPr>
          <w:rFonts w:cs="Arial"/>
        </w:rPr>
      </w:pPr>
      <w:r w:rsidRPr="00472F78">
        <w:rPr>
          <w:rFonts w:cs="Arial"/>
        </w:rPr>
        <w:t xml:space="preserve"> </w:t>
      </w:r>
    </w:p>
    <w:p w:rsidR="000E39EC" w:rsidRPr="00472F78" w:rsidRDefault="00F50EA9" w:rsidP="008D5D96">
      <w:pPr>
        <w:tabs>
          <w:tab w:val="left" w:pos="567"/>
          <w:tab w:val="left" w:pos="1134"/>
        </w:tabs>
        <w:spacing w:after="0"/>
        <w:rPr>
          <w:rFonts w:cs="Arial"/>
        </w:rPr>
      </w:pPr>
      <w:r w:rsidRPr="00472F78">
        <w:rPr>
          <w:rFonts w:cs="Arial"/>
        </w:rPr>
        <w:t>Based on an estimated tax-base then t</w:t>
      </w:r>
      <w:r w:rsidR="000E39EC" w:rsidRPr="00472F78">
        <w:rPr>
          <w:rFonts w:cs="Arial"/>
        </w:rPr>
        <w:t>he Council Tax position would be</w:t>
      </w:r>
      <w:r w:rsidRPr="00472F78">
        <w:rPr>
          <w:rFonts w:cs="Arial"/>
        </w:rPr>
        <w:t>:</w:t>
      </w:r>
    </w:p>
    <w:p w:rsidR="000E39EC" w:rsidRPr="008D5D96" w:rsidRDefault="000E39EC" w:rsidP="008D5D96">
      <w:pPr>
        <w:tabs>
          <w:tab w:val="left" w:pos="567"/>
          <w:tab w:val="left" w:pos="1134"/>
        </w:tabs>
        <w:spacing w:after="0"/>
        <w:rPr>
          <w:rFonts w:cs="Arial"/>
        </w:rPr>
      </w:pPr>
      <w:r w:rsidRPr="008D5D96">
        <w:rPr>
          <w:rFonts w:cs="Arial"/>
        </w:rPr>
        <w:t xml:space="preserve"> </w:t>
      </w:r>
    </w:p>
    <w:tbl>
      <w:tblPr>
        <w:tblStyle w:val="TableGrid"/>
        <w:tblW w:w="0" w:type="auto"/>
        <w:tblLook w:val="04A0" w:firstRow="1" w:lastRow="0" w:firstColumn="1" w:lastColumn="0" w:noHBand="0" w:noVBand="1"/>
      </w:tblPr>
      <w:tblGrid>
        <w:gridCol w:w="4791"/>
        <w:gridCol w:w="3031"/>
      </w:tblGrid>
      <w:tr w:rsidR="00F50EA9" w:rsidRPr="00396E00" w:rsidTr="00396E00">
        <w:trPr>
          <w:trHeight w:val="575"/>
        </w:trPr>
        <w:tc>
          <w:tcPr>
            <w:tcW w:w="4791" w:type="dxa"/>
            <w:vAlign w:val="center"/>
          </w:tcPr>
          <w:p w:rsidR="006E0BEE" w:rsidRPr="00396E00" w:rsidRDefault="006E0BEE" w:rsidP="008D5D96">
            <w:pPr>
              <w:tabs>
                <w:tab w:val="left" w:pos="567"/>
                <w:tab w:val="left" w:pos="1134"/>
              </w:tabs>
              <w:spacing w:after="0"/>
              <w:rPr>
                <w:rFonts w:cs="Arial"/>
                <w:b/>
                <w:sz w:val="22"/>
                <w:szCs w:val="22"/>
              </w:rPr>
            </w:pPr>
            <w:r w:rsidRPr="00396E00">
              <w:rPr>
                <w:rFonts w:cs="Arial"/>
                <w:b/>
                <w:sz w:val="22"/>
                <w:szCs w:val="22"/>
              </w:rPr>
              <w:t>Council Tax cash 2016/17</w:t>
            </w:r>
          </w:p>
        </w:tc>
        <w:tc>
          <w:tcPr>
            <w:tcW w:w="3031" w:type="dxa"/>
            <w:vAlign w:val="center"/>
          </w:tcPr>
          <w:p w:rsidR="00F50EA9" w:rsidRPr="00396E00" w:rsidRDefault="006E0BEE" w:rsidP="008D5D96">
            <w:pPr>
              <w:tabs>
                <w:tab w:val="left" w:pos="567"/>
                <w:tab w:val="left" w:pos="1134"/>
              </w:tabs>
              <w:spacing w:after="0"/>
              <w:jc w:val="center"/>
              <w:rPr>
                <w:rFonts w:cs="Arial"/>
                <w:sz w:val="22"/>
                <w:szCs w:val="22"/>
              </w:rPr>
            </w:pPr>
            <w:r w:rsidRPr="00396E00">
              <w:rPr>
                <w:rFonts w:cs="Arial"/>
                <w:sz w:val="22"/>
                <w:szCs w:val="22"/>
              </w:rPr>
              <w:t>£</w:t>
            </w:r>
            <w:r w:rsidR="00F50EA9" w:rsidRPr="00396E00">
              <w:rPr>
                <w:rFonts w:cs="Arial"/>
                <w:sz w:val="22"/>
                <w:szCs w:val="22"/>
              </w:rPr>
              <w:t>404.361</w:t>
            </w:r>
            <w:r w:rsidRPr="00396E00">
              <w:rPr>
                <w:rFonts w:cs="Arial"/>
                <w:sz w:val="22"/>
                <w:szCs w:val="22"/>
              </w:rPr>
              <w:t>m</w:t>
            </w:r>
          </w:p>
        </w:tc>
      </w:tr>
      <w:tr w:rsidR="00F50EA9" w:rsidRPr="00396E00" w:rsidTr="00396E00">
        <w:trPr>
          <w:trHeight w:val="540"/>
        </w:trPr>
        <w:tc>
          <w:tcPr>
            <w:tcW w:w="4791" w:type="dxa"/>
            <w:vAlign w:val="center"/>
          </w:tcPr>
          <w:p w:rsidR="006E0BEE" w:rsidRPr="00396E00" w:rsidRDefault="00F50EA9" w:rsidP="008D5D96">
            <w:pPr>
              <w:tabs>
                <w:tab w:val="left" w:pos="567"/>
                <w:tab w:val="left" w:pos="1134"/>
              </w:tabs>
              <w:spacing w:after="0"/>
              <w:jc w:val="left"/>
              <w:rPr>
                <w:rFonts w:cs="Arial"/>
                <w:b/>
                <w:sz w:val="22"/>
                <w:szCs w:val="22"/>
              </w:rPr>
            </w:pPr>
            <w:r w:rsidRPr="00396E00">
              <w:rPr>
                <w:rFonts w:cs="Arial"/>
                <w:b/>
                <w:sz w:val="22"/>
                <w:szCs w:val="22"/>
              </w:rPr>
              <w:t>Tax</w:t>
            </w:r>
            <w:r w:rsidR="00277907">
              <w:rPr>
                <w:rFonts w:cs="Arial"/>
                <w:b/>
                <w:sz w:val="22"/>
                <w:szCs w:val="22"/>
              </w:rPr>
              <w:t xml:space="preserve"> </w:t>
            </w:r>
            <w:r w:rsidRPr="00396E00">
              <w:rPr>
                <w:rFonts w:cs="Arial"/>
                <w:b/>
                <w:sz w:val="22"/>
                <w:szCs w:val="22"/>
              </w:rPr>
              <w:t>base</w:t>
            </w:r>
          </w:p>
        </w:tc>
        <w:tc>
          <w:tcPr>
            <w:tcW w:w="3031" w:type="dxa"/>
            <w:vAlign w:val="center"/>
          </w:tcPr>
          <w:p w:rsidR="00F50EA9" w:rsidRPr="00396E00" w:rsidRDefault="00F50EA9" w:rsidP="008D5D96">
            <w:pPr>
              <w:tabs>
                <w:tab w:val="left" w:pos="567"/>
                <w:tab w:val="left" w:pos="1134"/>
              </w:tabs>
              <w:spacing w:after="0"/>
              <w:jc w:val="center"/>
              <w:rPr>
                <w:rFonts w:cs="Arial"/>
                <w:sz w:val="22"/>
                <w:szCs w:val="22"/>
              </w:rPr>
            </w:pPr>
            <w:r w:rsidRPr="00396E00">
              <w:rPr>
                <w:rFonts w:cs="Arial"/>
                <w:sz w:val="22"/>
                <w:szCs w:val="22"/>
              </w:rPr>
              <w:t>344</w:t>
            </w:r>
            <w:r w:rsidR="00CE42AC" w:rsidRPr="00396E00">
              <w:rPr>
                <w:rFonts w:cs="Arial"/>
                <w:sz w:val="22"/>
                <w:szCs w:val="22"/>
              </w:rPr>
              <w:t>,</w:t>
            </w:r>
            <w:r w:rsidRPr="00396E00">
              <w:rPr>
                <w:rFonts w:cs="Arial"/>
                <w:sz w:val="22"/>
                <w:szCs w:val="22"/>
              </w:rPr>
              <w:t>178.24</w:t>
            </w:r>
          </w:p>
        </w:tc>
      </w:tr>
      <w:tr w:rsidR="00F50EA9" w:rsidRPr="00396E00" w:rsidTr="00E7457D">
        <w:trPr>
          <w:trHeight w:val="566"/>
        </w:trPr>
        <w:tc>
          <w:tcPr>
            <w:tcW w:w="4791" w:type="dxa"/>
            <w:vAlign w:val="center"/>
          </w:tcPr>
          <w:p w:rsidR="00F50EA9" w:rsidRPr="00396E00" w:rsidRDefault="00F50EA9" w:rsidP="00C029A5">
            <w:pPr>
              <w:tabs>
                <w:tab w:val="left" w:pos="567"/>
                <w:tab w:val="left" w:pos="1134"/>
              </w:tabs>
              <w:spacing w:after="0"/>
              <w:jc w:val="left"/>
              <w:rPr>
                <w:rFonts w:cs="Arial"/>
                <w:b/>
                <w:sz w:val="22"/>
                <w:szCs w:val="22"/>
              </w:rPr>
            </w:pPr>
            <w:r w:rsidRPr="00396E00">
              <w:rPr>
                <w:rFonts w:cs="Arial"/>
                <w:b/>
                <w:sz w:val="22"/>
                <w:szCs w:val="22"/>
              </w:rPr>
              <w:t>Band D Council Tax</w:t>
            </w:r>
            <w:r w:rsidR="00E7457D">
              <w:rPr>
                <w:rFonts w:cs="Arial"/>
                <w:b/>
                <w:sz w:val="22"/>
                <w:szCs w:val="22"/>
              </w:rPr>
              <w:t xml:space="preserve"> 2016/17</w:t>
            </w:r>
          </w:p>
        </w:tc>
        <w:tc>
          <w:tcPr>
            <w:tcW w:w="3031" w:type="dxa"/>
            <w:vAlign w:val="center"/>
          </w:tcPr>
          <w:p w:rsidR="00F50EA9" w:rsidRPr="00396E00" w:rsidRDefault="006E0BEE" w:rsidP="008D5D96">
            <w:pPr>
              <w:tabs>
                <w:tab w:val="left" w:pos="567"/>
                <w:tab w:val="left" w:pos="1134"/>
              </w:tabs>
              <w:spacing w:after="0"/>
              <w:jc w:val="center"/>
              <w:rPr>
                <w:rFonts w:cs="Arial"/>
                <w:sz w:val="22"/>
                <w:szCs w:val="22"/>
              </w:rPr>
            </w:pPr>
            <w:r w:rsidRPr="00396E00">
              <w:rPr>
                <w:rFonts w:cs="Arial"/>
                <w:sz w:val="22"/>
                <w:szCs w:val="22"/>
              </w:rPr>
              <w:t>£</w:t>
            </w:r>
            <w:r w:rsidR="00F50EA9" w:rsidRPr="00396E00">
              <w:rPr>
                <w:rFonts w:cs="Arial"/>
                <w:sz w:val="22"/>
                <w:szCs w:val="22"/>
              </w:rPr>
              <w:t>1,174.86</w:t>
            </w:r>
          </w:p>
        </w:tc>
      </w:tr>
      <w:tr w:rsidR="00F50EA9" w:rsidRPr="00396E00" w:rsidTr="00E7457D">
        <w:trPr>
          <w:trHeight w:val="519"/>
        </w:trPr>
        <w:tc>
          <w:tcPr>
            <w:tcW w:w="4791" w:type="dxa"/>
            <w:vAlign w:val="center"/>
          </w:tcPr>
          <w:p w:rsidR="00F50EA9" w:rsidRPr="00396E00" w:rsidRDefault="00F50EA9" w:rsidP="00C029A5">
            <w:pPr>
              <w:tabs>
                <w:tab w:val="left" w:pos="567"/>
                <w:tab w:val="left" w:pos="1134"/>
              </w:tabs>
              <w:spacing w:after="0"/>
              <w:jc w:val="left"/>
              <w:rPr>
                <w:rFonts w:cs="Arial"/>
                <w:b/>
                <w:sz w:val="22"/>
                <w:szCs w:val="22"/>
              </w:rPr>
            </w:pPr>
            <w:r w:rsidRPr="00396E00">
              <w:rPr>
                <w:rFonts w:cs="Arial"/>
                <w:b/>
                <w:sz w:val="22"/>
                <w:szCs w:val="22"/>
              </w:rPr>
              <w:t>Band D Council Tax</w:t>
            </w:r>
            <w:r w:rsidR="00E7457D">
              <w:rPr>
                <w:rFonts w:cs="Arial"/>
                <w:b/>
                <w:sz w:val="22"/>
                <w:szCs w:val="22"/>
              </w:rPr>
              <w:t xml:space="preserve"> 2015/16</w:t>
            </w:r>
          </w:p>
        </w:tc>
        <w:tc>
          <w:tcPr>
            <w:tcW w:w="3031" w:type="dxa"/>
            <w:vAlign w:val="center"/>
          </w:tcPr>
          <w:p w:rsidR="00F50EA9" w:rsidRPr="00396E00" w:rsidRDefault="006E0BEE" w:rsidP="008D5D96">
            <w:pPr>
              <w:tabs>
                <w:tab w:val="left" w:pos="567"/>
                <w:tab w:val="left" w:pos="1134"/>
              </w:tabs>
              <w:spacing w:after="0"/>
              <w:jc w:val="center"/>
              <w:rPr>
                <w:rFonts w:cs="Arial"/>
                <w:sz w:val="22"/>
                <w:szCs w:val="22"/>
              </w:rPr>
            </w:pPr>
            <w:r w:rsidRPr="00396E00">
              <w:rPr>
                <w:rFonts w:cs="Arial"/>
                <w:sz w:val="22"/>
                <w:szCs w:val="22"/>
              </w:rPr>
              <w:t>£</w:t>
            </w:r>
            <w:r w:rsidR="00F50EA9" w:rsidRPr="00396E00">
              <w:rPr>
                <w:rFonts w:cs="Arial"/>
                <w:sz w:val="22"/>
                <w:szCs w:val="22"/>
              </w:rPr>
              <w:t>1,12</w:t>
            </w:r>
            <w:r w:rsidR="00C56C40" w:rsidRPr="00396E00">
              <w:rPr>
                <w:rFonts w:cs="Arial"/>
                <w:sz w:val="22"/>
                <w:szCs w:val="22"/>
              </w:rPr>
              <w:t>9</w:t>
            </w:r>
            <w:r w:rsidR="00F50EA9" w:rsidRPr="00396E00">
              <w:rPr>
                <w:rFonts w:cs="Arial"/>
                <w:sz w:val="22"/>
                <w:szCs w:val="22"/>
              </w:rPr>
              <w:t>.7</w:t>
            </w:r>
            <w:r w:rsidR="00C56C40" w:rsidRPr="00396E00">
              <w:rPr>
                <w:rFonts w:cs="Arial"/>
                <w:sz w:val="22"/>
                <w:szCs w:val="22"/>
              </w:rPr>
              <w:t>8</w:t>
            </w:r>
          </w:p>
        </w:tc>
      </w:tr>
      <w:tr w:rsidR="00F50EA9" w:rsidRPr="00396E00" w:rsidTr="00396E00">
        <w:trPr>
          <w:trHeight w:val="550"/>
        </w:trPr>
        <w:tc>
          <w:tcPr>
            <w:tcW w:w="4791" w:type="dxa"/>
            <w:vAlign w:val="center"/>
          </w:tcPr>
          <w:p w:rsidR="00F50EA9" w:rsidRPr="00396E00" w:rsidRDefault="00F50EA9" w:rsidP="008D5D96">
            <w:pPr>
              <w:tabs>
                <w:tab w:val="left" w:pos="567"/>
                <w:tab w:val="left" w:pos="1134"/>
              </w:tabs>
              <w:spacing w:after="0"/>
              <w:jc w:val="left"/>
              <w:rPr>
                <w:rFonts w:cs="Arial"/>
                <w:b/>
                <w:sz w:val="22"/>
                <w:szCs w:val="22"/>
              </w:rPr>
            </w:pPr>
            <w:r w:rsidRPr="00396E00">
              <w:rPr>
                <w:rFonts w:cs="Arial"/>
                <w:b/>
                <w:sz w:val="22"/>
                <w:szCs w:val="22"/>
              </w:rPr>
              <w:t>% increase</w:t>
            </w:r>
            <w:r w:rsidR="006E0BEE" w:rsidRPr="00396E00">
              <w:rPr>
                <w:rFonts w:cs="Arial"/>
                <w:b/>
                <w:sz w:val="22"/>
                <w:szCs w:val="22"/>
              </w:rPr>
              <w:t xml:space="preserve"> between 2015/16 and 2016/17</w:t>
            </w:r>
          </w:p>
        </w:tc>
        <w:tc>
          <w:tcPr>
            <w:tcW w:w="3031" w:type="dxa"/>
            <w:vAlign w:val="center"/>
          </w:tcPr>
          <w:p w:rsidR="00F50EA9" w:rsidRPr="00396E00" w:rsidRDefault="00F50EA9" w:rsidP="008D5D96">
            <w:pPr>
              <w:tabs>
                <w:tab w:val="left" w:pos="567"/>
                <w:tab w:val="left" w:pos="1134"/>
              </w:tabs>
              <w:spacing w:after="0"/>
              <w:jc w:val="center"/>
              <w:rPr>
                <w:rFonts w:cs="Arial"/>
                <w:sz w:val="22"/>
                <w:szCs w:val="22"/>
              </w:rPr>
            </w:pPr>
            <w:r w:rsidRPr="00396E00">
              <w:rPr>
                <w:rFonts w:cs="Arial"/>
                <w:sz w:val="22"/>
                <w:szCs w:val="22"/>
              </w:rPr>
              <w:t>3.99</w:t>
            </w:r>
            <w:r w:rsidR="006E0BEE" w:rsidRPr="00396E00">
              <w:rPr>
                <w:rFonts w:cs="Arial"/>
                <w:sz w:val="22"/>
                <w:szCs w:val="22"/>
              </w:rPr>
              <w:t>%</w:t>
            </w:r>
          </w:p>
        </w:tc>
      </w:tr>
    </w:tbl>
    <w:p w:rsidR="008D5D96" w:rsidRPr="008D5D96" w:rsidRDefault="008D5D96" w:rsidP="008D5D96">
      <w:pPr>
        <w:tabs>
          <w:tab w:val="left" w:pos="567"/>
          <w:tab w:val="left" w:pos="1134"/>
        </w:tabs>
        <w:spacing w:after="0"/>
        <w:rPr>
          <w:rFonts w:cs="Arial"/>
          <w:b/>
        </w:rPr>
      </w:pPr>
    </w:p>
    <w:p w:rsidR="008D5D96" w:rsidRPr="00472F78" w:rsidRDefault="00F50EA9" w:rsidP="008D5D96">
      <w:pPr>
        <w:tabs>
          <w:tab w:val="left" w:pos="567"/>
          <w:tab w:val="left" w:pos="1134"/>
        </w:tabs>
        <w:spacing w:after="0"/>
        <w:rPr>
          <w:rFonts w:cs="Arial"/>
        </w:rPr>
      </w:pPr>
      <w:r w:rsidRPr="00472F78">
        <w:rPr>
          <w:rFonts w:cs="Arial"/>
        </w:rPr>
        <w:t>Details on the actual Council Tax-base will not be finalised until February</w:t>
      </w:r>
      <w:r w:rsidR="00CE42AC" w:rsidRPr="00472F78">
        <w:rPr>
          <w:rFonts w:cs="Arial"/>
        </w:rPr>
        <w:t xml:space="preserve"> and t</w:t>
      </w:r>
      <w:r w:rsidR="000A4469" w:rsidRPr="00472F78">
        <w:rPr>
          <w:rFonts w:cs="Arial"/>
        </w:rPr>
        <w:t>he above is an estimate of the c</w:t>
      </w:r>
      <w:r w:rsidR="00CE42AC" w:rsidRPr="00472F78">
        <w:rPr>
          <w:rFonts w:cs="Arial"/>
        </w:rPr>
        <w:t xml:space="preserve">ouncil tax and the </w:t>
      </w:r>
      <w:r w:rsidR="002A3DD0" w:rsidRPr="00472F78">
        <w:rPr>
          <w:rFonts w:cs="Arial"/>
        </w:rPr>
        <w:t xml:space="preserve">estimated </w:t>
      </w:r>
      <w:r w:rsidR="00CE42AC" w:rsidRPr="00472F78">
        <w:rPr>
          <w:rFonts w:cs="Arial"/>
        </w:rPr>
        <w:t>cash generated in 2016/17.</w:t>
      </w:r>
    </w:p>
    <w:p w:rsidR="007F4050" w:rsidRPr="00472F78" w:rsidRDefault="007F4050" w:rsidP="008D5D96">
      <w:pPr>
        <w:tabs>
          <w:tab w:val="left" w:pos="567"/>
          <w:tab w:val="left" w:pos="1134"/>
        </w:tabs>
        <w:spacing w:after="0"/>
        <w:rPr>
          <w:rFonts w:cs="Arial"/>
        </w:rPr>
      </w:pPr>
    </w:p>
    <w:p w:rsidR="00E57F56" w:rsidRPr="00472F78" w:rsidRDefault="007F4050" w:rsidP="00396E00">
      <w:pPr>
        <w:tabs>
          <w:tab w:val="left" w:pos="567"/>
          <w:tab w:val="left" w:pos="1134"/>
        </w:tabs>
        <w:spacing w:after="0"/>
        <w:rPr>
          <w:rFonts w:cs="Arial"/>
        </w:rPr>
      </w:pPr>
      <w:r w:rsidRPr="00472F78">
        <w:rPr>
          <w:rFonts w:cs="Arial"/>
        </w:rPr>
        <w:t xml:space="preserve">The funding gap in section 1.1 assumes </w:t>
      </w:r>
      <w:r w:rsidR="00432795" w:rsidRPr="00472F78">
        <w:rPr>
          <w:rFonts w:cs="Arial"/>
        </w:rPr>
        <w:t>an</w:t>
      </w:r>
      <w:r w:rsidRPr="00472F78">
        <w:rPr>
          <w:rFonts w:cs="Arial"/>
        </w:rPr>
        <w:t xml:space="preserve"> increase</w:t>
      </w:r>
      <w:r w:rsidR="00432795" w:rsidRPr="00472F78">
        <w:rPr>
          <w:rFonts w:cs="Arial"/>
        </w:rPr>
        <w:t xml:space="preserve"> in the Council Tax</w:t>
      </w:r>
      <w:r w:rsidR="002A3DD0" w:rsidRPr="00472F78">
        <w:rPr>
          <w:rFonts w:cs="Arial"/>
        </w:rPr>
        <w:t xml:space="preserve"> of 3.99%</w:t>
      </w:r>
      <w:r w:rsidR="00432795" w:rsidRPr="00472F78">
        <w:rPr>
          <w:rFonts w:cs="Arial"/>
        </w:rPr>
        <w:t xml:space="preserve"> is applied </w:t>
      </w:r>
      <w:r w:rsidRPr="00472F78">
        <w:rPr>
          <w:rFonts w:cs="Arial"/>
        </w:rPr>
        <w:t xml:space="preserve">but </w:t>
      </w:r>
      <w:r w:rsidR="00432795" w:rsidRPr="00472F78">
        <w:rPr>
          <w:rFonts w:cs="Arial"/>
        </w:rPr>
        <w:t xml:space="preserve">this </w:t>
      </w:r>
      <w:r w:rsidR="002A3DD0" w:rsidRPr="00472F78">
        <w:rPr>
          <w:rFonts w:cs="Arial"/>
        </w:rPr>
        <w:t xml:space="preserve">will be </w:t>
      </w:r>
      <w:r w:rsidRPr="00472F78">
        <w:rPr>
          <w:rFonts w:cs="Arial"/>
        </w:rPr>
        <w:t xml:space="preserve">subject to decision taken by the County </w:t>
      </w:r>
      <w:r w:rsidR="000B2AE1" w:rsidRPr="00472F78">
        <w:rPr>
          <w:rFonts w:cs="Arial"/>
        </w:rPr>
        <w:t>C</w:t>
      </w:r>
      <w:r w:rsidRPr="00472F78">
        <w:rPr>
          <w:rFonts w:cs="Arial"/>
        </w:rPr>
        <w:t>ouncil.</w:t>
      </w:r>
    </w:p>
    <w:p w:rsidR="000C0795" w:rsidRPr="00472F78" w:rsidRDefault="000C0795" w:rsidP="00396E00">
      <w:pPr>
        <w:tabs>
          <w:tab w:val="left" w:pos="567"/>
          <w:tab w:val="left" w:pos="1134"/>
        </w:tabs>
        <w:spacing w:after="0"/>
        <w:rPr>
          <w:rFonts w:cs="Arial"/>
        </w:rPr>
      </w:pPr>
    </w:p>
    <w:p w:rsidR="00A2574E" w:rsidRPr="00472F78" w:rsidRDefault="00A2574E" w:rsidP="008D5D96">
      <w:pPr>
        <w:tabs>
          <w:tab w:val="left" w:pos="567"/>
          <w:tab w:val="left" w:pos="1134"/>
        </w:tabs>
        <w:spacing w:after="0"/>
        <w:rPr>
          <w:rFonts w:cs="Arial"/>
          <w:b/>
        </w:rPr>
      </w:pPr>
      <w:r w:rsidRPr="00472F78">
        <w:rPr>
          <w:rFonts w:cs="Arial"/>
          <w:b/>
        </w:rPr>
        <w:t>2.</w:t>
      </w:r>
      <w:r w:rsidR="00391EC0" w:rsidRPr="00472F78">
        <w:rPr>
          <w:rFonts w:cs="Arial"/>
          <w:b/>
        </w:rPr>
        <w:t xml:space="preserve">9 </w:t>
      </w:r>
      <w:r w:rsidRPr="00472F78">
        <w:rPr>
          <w:rFonts w:cs="Arial"/>
          <w:b/>
        </w:rPr>
        <w:t>Business Rate Pooling</w:t>
      </w:r>
    </w:p>
    <w:p w:rsidR="00A2574E" w:rsidRPr="00472F78" w:rsidRDefault="00A2574E" w:rsidP="008D5D96">
      <w:pPr>
        <w:tabs>
          <w:tab w:val="left" w:pos="567"/>
          <w:tab w:val="left" w:pos="1134"/>
        </w:tabs>
        <w:spacing w:after="0"/>
        <w:rPr>
          <w:rFonts w:cs="Arial"/>
          <w:b/>
        </w:rPr>
      </w:pPr>
    </w:p>
    <w:p w:rsidR="00A2574E" w:rsidRPr="00472F78" w:rsidRDefault="00A2574E" w:rsidP="008D5D96">
      <w:pPr>
        <w:tabs>
          <w:tab w:val="left" w:pos="567"/>
          <w:tab w:val="left" w:pos="1134"/>
        </w:tabs>
        <w:spacing w:after="0"/>
        <w:rPr>
          <w:rFonts w:cs="Arial"/>
        </w:rPr>
      </w:pPr>
      <w:r w:rsidRPr="00472F78">
        <w:rPr>
          <w:rFonts w:cs="Arial"/>
        </w:rPr>
        <w:t xml:space="preserve">The Settlement includes government assumptions of the amount </w:t>
      </w:r>
      <w:r w:rsidR="000A4469" w:rsidRPr="00472F78">
        <w:rPr>
          <w:rFonts w:cs="Arial"/>
        </w:rPr>
        <w:t xml:space="preserve">of </w:t>
      </w:r>
      <w:r w:rsidRPr="00472F78">
        <w:rPr>
          <w:rFonts w:cs="Arial"/>
        </w:rPr>
        <w:t xml:space="preserve">business rates individual authorities require to fund their services (the baseline funding). When the business rates retention system was implemented in 2013/14 the concept of a levy was also introduced.  This levy was due to be paid to central government when a local authority’s increase in revenue from business rates outstrips the increase in its baseline funding level. </w:t>
      </w:r>
    </w:p>
    <w:p w:rsidR="00A2574E" w:rsidRPr="00472F78" w:rsidRDefault="00A2574E" w:rsidP="008D5D96">
      <w:pPr>
        <w:tabs>
          <w:tab w:val="left" w:pos="567"/>
          <w:tab w:val="left" w:pos="1134"/>
        </w:tabs>
        <w:spacing w:after="0"/>
        <w:rPr>
          <w:rFonts w:cs="Arial"/>
        </w:rPr>
      </w:pPr>
    </w:p>
    <w:p w:rsidR="000A747F" w:rsidRPr="00472F78" w:rsidRDefault="00A2574E" w:rsidP="008D5D96">
      <w:pPr>
        <w:tabs>
          <w:tab w:val="left" w:pos="567"/>
          <w:tab w:val="left" w:pos="1134"/>
        </w:tabs>
        <w:spacing w:after="0"/>
        <w:rPr>
          <w:rFonts w:cs="Arial"/>
        </w:rPr>
      </w:pPr>
      <w:r w:rsidRPr="00472F78">
        <w:rPr>
          <w:rFonts w:cs="Arial"/>
        </w:rPr>
        <w:t xml:space="preserve">Although the system calculates data for individual authorities there was the option </w:t>
      </w:r>
      <w:r w:rsidR="000A4469" w:rsidRPr="00472F78">
        <w:rPr>
          <w:rFonts w:cs="Arial"/>
        </w:rPr>
        <w:t>for</w:t>
      </w:r>
      <w:r w:rsidRPr="00472F78">
        <w:rPr>
          <w:rFonts w:cs="Arial"/>
        </w:rPr>
        <w:t xml:space="preserve"> local authorities pooling between themselves subject to the approval </w:t>
      </w:r>
      <w:r w:rsidR="000A4469" w:rsidRPr="00472F78">
        <w:rPr>
          <w:rFonts w:cs="Arial"/>
        </w:rPr>
        <w:t>from</w:t>
      </w:r>
      <w:r w:rsidRPr="00472F78">
        <w:rPr>
          <w:rFonts w:cs="Arial"/>
        </w:rPr>
        <w:t xml:space="preserve"> the Secretary of State. This arrangement is beneficial as it would enable more of the le</w:t>
      </w:r>
      <w:r w:rsidR="000A4469" w:rsidRPr="00472F78">
        <w:rPr>
          <w:rFonts w:cs="Arial"/>
        </w:rPr>
        <w:t xml:space="preserve">vy to be retained locally.  A </w:t>
      </w:r>
      <w:r w:rsidRPr="00472F78">
        <w:rPr>
          <w:rFonts w:cs="Arial"/>
        </w:rPr>
        <w:t xml:space="preserve">Lancashire Business Rate Pool was </w:t>
      </w:r>
      <w:r w:rsidR="008A6E38" w:rsidRPr="00472F78">
        <w:rPr>
          <w:rFonts w:cs="Arial"/>
        </w:rPr>
        <w:t>approved for 2016/17 covering the County Council and nine of the Lancashire Districts. It is currently estimated that the County Council will receive £0.4m additional income in 2016/17 as a result of the pool.</w:t>
      </w:r>
      <w:r w:rsidRPr="00472F78">
        <w:rPr>
          <w:rFonts w:cs="Arial"/>
        </w:rPr>
        <w:t xml:space="preserve"> </w:t>
      </w:r>
    </w:p>
    <w:p w:rsidR="00A31E85" w:rsidRDefault="00A31E85" w:rsidP="008D5D96">
      <w:pPr>
        <w:tabs>
          <w:tab w:val="left" w:pos="567"/>
          <w:tab w:val="left" w:pos="1134"/>
        </w:tabs>
        <w:spacing w:after="0"/>
        <w:rPr>
          <w:rFonts w:cs="Arial"/>
        </w:rPr>
      </w:pPr>
    </w:p>
    <w:p w:rsidR="00A31E85" w:rsidRDefault="00A31E85" w:rsidP="008D5D96">
      <w:pPr>
        <w:tabs>
          <w:tab w:val="left" w:pos="567"/>
          <w:tab w:val="left" w:pos="1134"/>
        </w:tabs>
        <w:spacing w:after="0"/>
        <w:rPr>
          <w:rFonts w:cs="Arial"/>
        </w:rPr>
      </w:pPr>
    </w:p>
    <w:p w:rsidR="00A31E85" w:rsidRPr="000A4469" w:rsidRDefault="00A31E85" w:rsidP="008D5D96">
      <w:pPr>
        <w:tabs>
          <w:tab w:val="left" w:pos="567"/>
          <w:tab w:val="left" w:pos="1134"/>
        </w:tabs>
        <w:spacing w:after="0"/>
        <w:rPr>
          <w:rFonts w:cs="Arial"/>
        </w:rPr>
      </w:pPr>
    </w:p>
    <w:p w:rsidR="002135B1" w:rsidRPr="00E57F56" w:rsidRDefault="002135B1" w:rsidP="008D5D96">
      <w:pPr>
        <w:tabs>
          <w:tab w:val="left" w:pos="567"/>
          <w:tab w:val="left" w:pos="1134"/>
        </w:tabs>
        <w:spacing w:after="0"/>
        <w:rPr>
          <w:rFonts w:cs="Arial"/>
          <w:b/>
        </w:rPr>
      </w:pPr>
      <w:r w:rsidRPr="00E57F56">
        <w:rPr>
          <w:rFonts w:cs="Arial"/>
          <w:b/>
        </w:rPr>
        <w:lastRenderedPageBreak/>
        <w:t>2.</w:t>
      </w:r>
      <w:r w:rsidR="00391EC0" w:rsidRPr="00E57F56">
        <w:rPr>
          <w:rFonts w:cs="Arial"/>
          <w:b/>
        </w:rPr>
        <w:t>10</w:t>
      </w:r>
      <w:r w:rsidRPr="00E57F56">
        <w:rPr>
          <w:rFonts w:cs="Arial"/>
          <w:b/>
        </w:rPr>
        <w:t xml:space="preserve"> Summary of Potential Funding Changes on the MTFS</w:t>
      </w:r>
    </w:p>
    <w:p w:rsidR="00735E90" w:rsidRDefault="00735E90" w:rsidP="008D5D96">
      <w:pPr>
        <w:tabs>
          <w:tab w:val="left" w:pos="567"/>
          <w:tab w:val="left" w:pos="1134"/>
        </w:tabs>
        <w:spacing w:after="0"/>
        <w:rPr>
          <w:rFonts w:cs="Arial"/>
        </w:rPr>
      </w:pPr>
    </w:p>
    <w:tbl>
      <w:tblPr>
        <w:tblStyle w:val="TableGrid"/>
        <w:tblW w:w="9404" w:type="dxa"/>
        <w:tblLook w:val="04A0" w:firstRow="1" w:lastRow="0" w:firstColumn="1" w:lastColumn="0" w:noHBand="0" w:noVBand="1"/>
      </w:tblPr>
      <w:tblGrid>
        <w:gridCol w:w="2120"/>
        <w:gridCol w:w="1456"/>
        <w:gridCol w:w="1457"/>
        <w:gridCol w:w="1457"/>
        <w:gridCol w:w="1457"/>
        <w:gridCol w:w="1457"/>
      </w:tblGrid>
      <w:tr w:rsidR="00D31557" w:rsidRPr="00396E00" w:rsidTr="00277907">
        <w:trPr>
          <w:trHeight w:val="565"/>
        </w:trPr>
        <w:tc>
          <w:tcPr>
            <w:tcW w:w="2120" w:type="dxa"/>
            <w:shd w:val="clear" w:color="auto" w:fill="BFBFBF" w:themeFill="background1" w:themeFillShade="BF"/>
            <w:vAlign w:val="center"/>
            <w:hideMark/>
          </w:tcPr>
          <w:p w:rsidR="00D31557" w:rsidRPr="00396E00" w:rsidRDefault="00D31557" w:rsidP="00D31557">
            <w:pPr>
              <w:autoSpaceDE/>
              <w:autoSpaceDN/>
              <w:adjustRightInd/>
              <w:spacing w:after="0"/>
              <w:jc w:val="center"/>
              <w:rPr>
                <w:rFonts w:eastAsia="Times New Roman" w:cs="Arial"/>
                <w:sz w:val="22"/>
                <w:szCs w:val="22"/>
                <w:lang w:eastAsia="en-GB"/>
              </w:rPr>
            </w:pPr>
          </w:p>
        </w:tc>
        <w:tc>
          <w:tcPr>
            <w:tcW w:w="1456" w:type="dxa"/>
            <w:shd w:val="clear" w:color="auto" w:fill="BFBFBF" w:themeFill="background1" w:themeFillShade="BF"/>
            <w:vAlign w:val="center"/>
            <w:hideMark/>
          </w:tcPr>
          <w:p w:rsidR="00D31557" w:rsidRPr="00396E00" w:rsidRDefault="00D31557"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2016/17</w:t>
            </w:r>
          </w:p>
          <w:p w:rsidR="00396E00" w:rsidRPr="00396E00" w:rsidRDefault="00396E00"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£m</w:t>
            </w:r>
          </w:p>
        </w:tc>
        <w:tc>
          <w:tcPr>
            <w:tcW w:w="1457" w:type="dxa"/>
            <w:shd w:val="clear" w:color="auto" w:fill="BFBFBF" w:themeFill="background1" w:themeFillShade="BF"/>
            <w:vAlign w:val="center"/>
            <w:hideMark/>
          </w:tcPr>
          <w:p w:rsidR="00D31557" w:rsidRPr="00396E00" w:rsidRDefault="00D31557"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2017/18</w:t>
            </w:r>
          </w:p>
          <w:p w:rsidR="00396E00" w:rsidRPr="00396E00" w:rsidRDefault="00396E00"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£m</w:t>
            </w:r>
          </w:p>
        </w:tc>
        <w:tc>
          <w:tcPr>
            <w:tcW w:w="1457" w:type="dxa"/>
            <w:shd w:val="clear" w:color="auto" w:fill="BFBFBF" w:themeFill="background1" w:themeFillShade="BF"/>
            <w:vAlign w:val="center"/>
            <w:hideMark/>
          </w:tcPr>
          <w:p w:rsidR="00D31557" w:rsidRPr="00396E00" w:rsidRDefault="00D31557"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2018/19</w:t>
            </w:r>
          </w:p>
          <w:p w:rsidR="00396E00" w:rsidRPr="00396E00" w:rsidRDefault="00396E00"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£m</w:t>
            </w:r>
          </w:p>
        </w:tc>
        <w:tc>
          <w:tcPr>
            <w:tcW w:w="1457" w:type="dxa"/>
            <w:shd w:val="clear" w:color="auto" w:fill="BFBFBF" w:themeFill="background1" w:themeFillShade="BF"/>
            <w:vAlign w:val="center"/>
            <w:hideMark/>
          </w:tcPr>
          <w:p w:rsidR="00D31557" w:rsidRPr="00396E00" w:rsidRDefault="00D31557"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2019/20</w:t>
            </w:r>
          </w:p>
          <w:p w:rsidR="00396E00" w:rsidRPr="00396E00" w:rsidRDefault="00396E00"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£m</w:t>
            </w:r>
          </w:p>
        </w:tc>
        <w:tc>
          <w:tcPr>
            <w:tcW w:w="1457" w:type="dxa"/>
            <w:shd w:val="clear" w:color="auto" w:fill="BFBFBF" w:themeFill="background1" w:themeFillShade="BF"/>
            <w:vAlign w:val="center"/>
            <w:hideMark/>
          </w:tcPr>
          <w:p w:rsidR="00D31557" w:rsidRPr="00396E00" w:rsidRDefault="00D31557"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2020/21</w:t>
            </w:r>
          </w:p>
          <w:p w:rsidR="00396E00" w:rsidRPr="00396E00" w:rsidRDefault="00396E00" w:rsidP="002A3DD0">
            <w:pPr>
              <w:autoSpaceDE/>
              <w:autoSpaceDN/>
              <w:adjustRightInd/>
              <w:spacing w:after="0"/>
              <w:jc w:val="center"/>
              <w:rPr>
                <w:rFonts w:eastAsia="Times New Roman" w:cs="Arial"/>
                <w:b/>
                <w:bCs/>
                <w:sz w:val="22"/>
                <w:szCs w:val="22"/>
                <w:lang w:eastAsia="en-GB"/>
              </w:rPr>
            </w:pPr>
            <w:r w:rsidRPr="00396E00">
              <w:rPr>
                <w:rFonts w:eastAsia="Times New Roman" w:cs="Arial"/>
                <w:b/>
                <w:bCs/>
                <w:sz w:val="22"/>
                <w:szCs w:val="22"/>
                <w:lang w:eastAsia="en-GB"/>
              </w:rPr>
              <w:t>£m</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Resources Previous MTFS</w:t>
            </w:r>
          </w:p>
        </w:tc>
        <w:tc>
          <w:tcPr>
            <w:tcW w:w="1456"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705.034</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684.221</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668.977</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663.781</w:t>
            </w:r>
          </w:p>
        </w:tc>
        <w:tc>
          <w:tcPr>
            <w:tcW w:w="1457" w:type="dxa"/>
            <w:vAlign w:val="center"/>
            <w:hideMark/>
          </w:tcPr>
          <w:p w:rsidR="00D31557" w:rsidRPr="00396E00" w:rsidRDefault="00D31557" w:rsidP="002A3DD0">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663.926</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Change in SFA</w:t>
            </w:r>
          </w:p>
        </w:tc>
        <w:tc>
          <w:tcPr>
            <w:tcW w:w="1456" w:type="dxa"/>
            <w:vAlign w:val="center"/>
            <w:hideMark/>
          </w:tcPr>
          <w:p w:rsidR="00D31557" w:rsidRPr="00396E00" w:rsidRDefault="00D31557" w:rsidP="00391EC0">
            <w:pPr>
              <w:autoSpaceDE/>
              <w:autoSpaceDN/>
              <w:adjustRightInd/>
              <w:spacing w:after="0"/>
              <w:jc w:val="center"/>
              <w:rPr>
                <w:rFonts w:eastAsia="Times New Roman" w:cs="Arial"/>
                <w:bCs/>
                <w:sz w:val="22"/>
                <w:szCs w:val="22"/>
                <w:lang w:eastAsia="en-GB"/>
              </w:rPr>
            </w:pPr>
            <w:r w:rsidRPr="00396E00">
              <w:rPr>
                <w:rFonts w:eastAsia="Times New Roman" w:cs="Arial"/>
                <w:bCs/>
                <w:sz w:val="22"/>
                <w:szCs w:val="22"/>
                <w:lang w:eastAsia="en-GB"/>
              </w:rPr>
              <w:t>-</w:t>
            </w:r>
            <w:r w:rsidR="001A3334" w:rsidRPr="00396E00">
              <w:rPr>
                <w:rFonts w:eastAsia="Times New Roman" w:cs="Arial"/>
                <w:bCs/>
                <w:sz w:val="22"/>
                <w:szCs w:val="22"/>
                <w:lang w:eastAsia="en-GB"/>
              </w:rPr>
              <w:t>1</w:t>
            </w:r>
            <w:r w:rsidRPr="00396E00">
              <w:rPr>
                <w:rFonts w:eastAsia="Times New Roman" w:cs="Arial"/>
                <w:bCs/>
                <w:sz w:val="22"/>
                <w:szCs w:val="22"/>
                <w:lang w:eastAsia="en-GB"/>
              </w:rPr>
              <w:t>4.</w:t>
            </w:r>
            <w:r w:rsidR="00391EC0" w:rsidRPr="00396E00">
              <w:rPr>
                <w:rFonts w:eastAsia="Times New Roman" w:cs="Arial"/>
                <w:bCs/>
                <w:sz w:val="22"/>
                <w:szCs w:val="22"/>
                <w:lang w:eastAsia="en-GB"/>
              </w:rPr>
              <w:t>862</w:t>
            </w:r>
          </w:p>
        </w:tc>
        <w:tc>
          <w:tcPr>
            <w:tcW w:w="1457" w:type="dxa"/>
            <w:vAlign w:val="center"/>
            <w:hideMark/>
          </w:tcPr>
          <w:p w:rsidR="00D31557" w:rsidRPr="00396E00" w:rsidRDefault="00D31557" w:rsidP="007A3424">
            <w:pPr>
              <w:autoSpaceDE/>
              <w:autoSpaceDN/>
              <w:adjustRightInd/>
              <w:spacing w:after="0"/>
              <w:jc w:val="center"/>
              <w:rPr>
                <w:rFonts w:eastAsia="Times New Roman" w:cs="Arial"/>
                <w:bCs/>
                <w:sz w:val="22"/>
                <w:szCs w:val="22"/>
                <w:lang w:eastAsia="en-GB"/>
              </w:rPr>
            </w:pPr>
            <w:r w:rsidRPr="00396E00">
              <w:rPr>
                <w:rFonts w:eastAsia="Times New Roman" w:cs="Arial"/>
                <w:bCs/>
                <w:sz w:val="22"/>
                <w:szCs w:val="22"/>
                <w:lang w:eastAsia="en-GB"/>
              </w:rPr>
              <w:t>- 27.287</w:t>
            </w:r>
          </w:p>
        </w:tc>
        <w:tc>
          <w:tcPr>
            <w:tcW w:w="1457" w:type="dxa"/>
            <w:vAlign w:val="center"/>
            <w:hideMark/>
          </w:tcPr>
          <w:p w:rsidR="00D31557" w:rsidRPr="00396E00" w:rsidRDefault="00D31557" w:rsidP="007A3424">
            <w:pPr>
              <w:autoSpaceDE/>
              <w:autoSpaceDN/>
              <w:adjustRightInd/>
              <w:spacing w:after="0"/>
              <w:jc w:val="center"/>
              <w:rPr>
                <w:rFonts w:eastAsia="Times New Roman" w:cs="Arial"/>
                <w:bCs/>
                <w:sz w:val="22"/>
                <w:szCs w:val="22"/>
                <w:lang w:eastAsia="en-GB"/>
              </w:rPr>
            </w:pPr>
            <w:r w:rsidRPr="00396E00">
              <w:rPr>
                <w:rFonts w:eastAsia="Times New Roman" w:cs="Arial"/>
                <w:bCs/>
                <w:sz w:val="22"/>
                <w:szCs w:val="22"/>
                <w:lang w:eastAsia="en-GB"/>
              </w:rPr>
              <w:t>- 29.462</w:t>
            </w:r>
          </w:p>
        </w:tc>
        <w:tc>
          <w:tcPr>
            <w:tcW w:w="1457" w:type="dxa"/>
            <w:vAlign w:val="center"/>
            <w:hideMark/>
          </w:tcPr>
          <w:p w:rsidR="00D31557" w:rsidRPr="00396E00" w:rsidRDefault="00D31557" w:rsidP="007A3424">
            <w:pPr>
              <w:autoSpaceDE/>
              <w:autoSpaceDN/>
              <w:adjustRightInd/>
              <w:spacing w:after="0"/>
              <w:jc w:val="center"/>
              <w:rPr>
                <w:rFonts w:eastAsia="Times New Roman" w:cs="Arial"/>
                <w:bCs/>
                <w:sz w:val="22"/>
                <w:szCs w:val="22"/>
                <w:lang w:eastAsia="en-GB"/>
              </w:rPr>
            </w:pPr>
            <w:r w:rsidRPr="00396E00">
              <w:rPr>
                <w:rFonts w:eastAsia="Times New Roman" w:cs="Arial"/>
                <w:bCs/>
                <w:sz w:val="22"/>
                <w:szCs w:val="22"/>
                <w:lang w:eastAsia="en-GB"/>
              </w:rPr>
              <w:t>- 42.360</w:t>
            </w:r>
          </w:p>
        </w:tc>
        <w:tc>
          <w:tcPr>
            <w:tcW w:w="1457" w:type="dxa"/>
            <w:vAlign w:val="center"/>
            <w:hideMark/>
          </w:tcPr>
          <w:p w:rsidR="00D31557" w:rsidRPr="00396E00" w:rsidRDefault="009B370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-42.360</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New Better Care Fund</w:t>
            </w:r>
          </w:p>
        </w:tc>
        <w:tc>
          <w:tcPr>
            <w:tcW w:w="1456" w:type="dxa"/>
            <w:vAlign w:val="center"/>
            <w:hideMark/>
          </w:tcPr>
          <w:p w:rsidR="00D31557" w:rsidRPr="00396E00" w:rsidRDefault="00D31557" w:rsidP="007A3424">
            <w:pPr>
              <w:autoSpaceDE/>
              <w:autoSpaceDN/>
              <w:adjustRightInd/>
              <w:spacing w:after="0"/>
              <w:jc w:val="center"/>
              <w:rPr>
                <w:rFonts w:eastAsia="Times New Roman" w:cs="Arial"/>
                <w:bCs/>
                <w:sz w:val="22"/>
                <w:szCs w:val="22"/>
                <w:lang w:eastAsia="en-GB"/>
              </w:rPr>
            </w:pPr>
          </w:p>
        </w:tc>
        <w:tc>
          <w:tcPr>
            <w:tcW w:w="1457" w:type="dxa"/>
            <w:vAlign w:val="center"/>
            <w:hideMark/>
          </w:tcPr>
          <w:p w:rsidR="00D31557" w:rsidRPr="00396E00" w:rsidRDefault="001B1E3C" w:rsidP="007A3424">
            <w:pPr>
              <w:autoSpaceDE/>
              <w:autoSpaceDN/>
              <w:adjustRightInd/>
              <w:spacing w:after="0"/>
              <w:jc w:val="center"/>
              <w:rPr>
                <w:rFonts w:eastAsia="Times New Roman" w:cs="Arial"/>
                <w:bCs/>
                <w:sz w:val="22"/>
                <w:szCs w:val="22"/>
                <w:lang w:eastAsia="en-GB"/>
              </w:rPr>
            </w:pPr>
            <w:r w:rsidRPr="00396E00">
              <w:rPr>
                <w:rFonts w:eastAsia="Times New Roman" w:cs="Arial"/>
                <w:bCs/>
                <w:sz w:val="22"/>
                <w:szCs w:val="22"/>
                <w:lang w:eastAsia="en-GB"/>
              </w:rPr>
              <w:t xml:space="preserve">   </w:t>
            </w:r>
            <w:r w:rsidR="00D31557" w:rsidRPr="00396E00">
              <w:rPr>
                <w:rFonts w:eastAsia="Times New Roman" w:cs="Arial"/>
                <w:bCs/>
                <w:sz w:val="22"/>
                <w:szCs w:val="22"/>
                <w:lang w:eastAsia="en-GB"/>
              </w:rPr>
              <w:t>3.210</w:t>
            </w:r>
          </w:p>
        </w:tc>
        <w:tc>
          <w:tcPr>
            <w:tcW w:w="1457" w:type="dxa"/>
            <w:vAlign w:val="center"/>
            <w:hideMark/>
          </w:tcPr>
          <w:p w:rsidR="00D31557" w:rsidRPr="00396E00" w:rsidRDefault="001B1E3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22.656</w:t>
            </w:r>
          </w:p>
        </w:tc>
        <w:tc>
          <w:tcPr>
            <w:tcW w:w="1457" w:type="dxa"/>
            <w:vAlign w:val="center"/>
            <w:hideMark/>
          </w:tcPr>
          <w:p w:rsidR="00D31557" w:rsidRPr="00396E00" w:rsidRDefault="001B1E3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40.014</w:t>
            </w:r>
          </w:p>
        </w:tc>
        <w:tc>
          <w:tcPr>
            <w:tcW w:w="1457" w:type="dxa"/>
            <w:vAlign w:val="center"/>
            <w:hideMark/>
          </w:tcPr>
          <w:p w:rsidR="00D31557" w:rsidRPr="00396E00" w:rsidRDefault="009B370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40.014</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New Homes Bonus</w:t>
            </w:r>
          </w:p>
        </w:tc>
        <w:tc>
          <w:tcPr>
            <w:tcW w:w="1456" w:type="dxa"/>
            <w:vAlign w:val="center"/>
            <w:hideMark/>
          </w:tcPr>
          <w:p w:rsidR="00D31557" w:rsidRPr="00396E00" w:rsidRDefault="001B1E3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0.</w:t>
            </w:r>
            <w:r w:rsidR="00602474" w:rsidRPr="00396E00">
              <w:rPr>
                <w:rFonts w:eastAsia="Times New Roman" w:cs="Arial"/>
                <w:sz w:val="22"/>
                <w:szCs w:val="22"/>
                <w:lang w:eastAsia="en-GB"/>
              </w:rPr>
              <w:t>169</w:t>
            </w:r>
          </w:p>
        </w:tc>
        <w:tc>
          <w:tcPr>
            <w:tcW w:w="1457" w:type="dxa"/>
            <w:vAlign w:val="center"/>
            <w:hideMark/>
          </w:tcPr>
          <w:p w:rsidR="00D31557" w:rsidRPr="00396E00" w:rsidRDefault="001B1E3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0.536</w:t>
            </w:r>
          </w:p>
        </w:tc>
        <w:tc>
          <w:tcPr>
            <w:tcW w:w="1457" w:type="dxa"/>
            <w:vAlign w:val="center"/>
            <w:hideMark/>
          </w:tcPr>
          <w:p w:rsidR="00D31557" w:rsidRPr="00396E00" w:rsidRDefault="002A3DD0"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1.525</w:t>
            </w:r>
          </w:p>
        </w:tc>
        <w:tc>
          <w:tcPr>
            <w:tcW w:w="1457" w:type="dxa"/>
            <w:vAlign w:val="center"/>
            <w:hideMark/>
          </w:tcPr>
          <w:p w:rsidR="00D31557" w:rsidRPr="00396E00" w:rsidRDefault="001B1E3C" w:rsidP="001B1E3C">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2A3DD0" w:rsidRPr="00396E00">
              <w:rPr>
                <w:rFonts w:eastAsia="Times New Roman" w:cs="Arial"/>
                <w:sz w:val="22"/>
                <w:szCs w:val="22"/>
                <w:lang w:eastAsia="en-GB"/>
              </w:rPr>
              <w:t>-</w:t>
            </w:r>
            <w:r w:rsidR="00D31557" w:rsidRPr="00396E00">
              <w:rPr>
                <w:rFonts w:eastAsia="Times New Roman" w:cs="Arial"/>
                <w:sz w:val="22"/>
                <w:szCs w:val="22"/>
                <w:lang w:eastAsia="en-GB"/>
              </w:rPr>
              <w:t>1.666</w:t>
            </w:r>
          </w:p>
        </w:tc>
        <w:tc>
          <w:tcPr>
            <w:tcW w:w="1457" w:type="dxa"/>
            <w:vAlign w:val="center"/>
            <w:hideMark/>
          </w:tcPr>
          <w:p w:rsidR="00D31557" w:rsidRPr="00396E00" w:rsidRDefault="009B370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-1.666</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Capital receipts available</w:t>
            </w:r>
          </w:p>
        </w:tc>
        <w:tc>
          <w:tcPr>
            <w:tcW w:w="1456" w:type="dxa"/>
            <w:vAlign w:val="center"/>
            <w:hideMark/>
          </w:tcPr>
          <w:p w:rsidR="00BC0F0D" w:rsidRPr="00396E00" w:rsidRDefault="00BC0F0D" w:rsidP="00E57F56">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5.000</w:t>
            </w:r>
          </w:p>
        </w:tc>
        <w:tc>
          <w:tcPr>
            <w:tcW w:w="1457" w:type="dxa"/>
            <w:vAlign w:val="center"/>
            <w:hideMark/>
          </w:tcPr>
          <w:p w:rsidR="00D31557" w:rsidRPr="00396E00" w:rsidRDefault="00BC0F0D"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12.500</w:t>
            </w:r>
          </w:p>
        </w:tc>
        <w:tc>
          <w:tcPr>
            <w:tcW w:w="1457" w:type="dxa"/>
            <w:vAlign w:val="center"/>
            <w:hideMark/>
          </w:tcPr>
          <w:p w:rsidR="00D31557" w:rsidRPr="00396E00" w:rsidRDefault="00BC0F0D"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5.000</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Council Tax increase 2015/16</w:t>
            </w:r>
          </w:p>
        </w:tc>
        <w:tc>
          <w:tcPr>
            <w:tcW w:w="1456"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15.515</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15.515</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15.515</w:t>
            </w:r>
          </w:p>
        </w:tc>
        <w:tc>
          <w:tcPr>
            <w:tcW w:w="1457" w:type="dxa"/>
            <w:vAlign w:val="center"/>
            <w:hideMark/>
          </w:tcPr>
          <w:p w:rsidR="00D31557" w:rsidRPr="00396E00" w:rsidRDefault="001B1E3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 xml:space="preserve"> </w:t>
            </w:r>
            <w:r w:rsidR="00D31557" w:rsidRPr="00396E00">
              <w:rPr>
                <w:rFonts w:eastAsia="Times New Roman" w:cs="Arial"/>
                <w:sz w:val="22"/>
                <w:szCs w:val="22"/>
                <w:lang w:eastAsia="en-GB"/>
              </w:rPr>
              <w:t>15.515</w:t>
            </w:r>
          </w:p>
        </w:tc>
        <w:tc>
          <w:tcPr>
            <w:tcW w:w="1457" w:type="dxa"/>
            <w:vAlign w:val="center"/>
            <w:hideMark/>
          </w:tcPr>
          <w:p w:rsidR="00D31557" w:rsidRPr="00396E00" w:rsidRDefault="009B370C" w:rsidP="007A3424">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15.515</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sz w:val="22"/>
                <w:szCs w:val="22"/>
                <w:lang w:eastAsia="en-GB"/>
              </w:rPr>
            </w:pPr>
            <w:r w:rsidRPr="00396E00">
              <w:rPr>
                <w:rFonts w:eastAsia="Times New Roman" w:cs="Arial"/>
                <w:sz w:val="22"/>
                <w:szCs w:val="22"/>
                <w:lang w:eastAsia="en-GB"/>
              </w:rPr>
              <w:t>Business rate pooling</w:t>
            </w:r>
          </w:p>
        </w:tc>
        <w:tc>
          <w:tcPr>
            <w:tcW w:w="1456" w:type="dxa"/>
            <w:vAlign w:val="center"/>
            <w:hideMark/>
          </w:tcPr>
          <w:p w:rsidR="00D31557" w:rsidRPr="00396E00" w:rsidRDefault="00D31557" w:rsidP="00391EC0">
            <w:pPr>
              <w:autoSpaceDE/>
              <w:autoSpaceDN/>
              <w:adjustRightInd/>
              <w:spacing w:after="0"/>
              <w:jc w:val="center"/>
              <w:rPr>
                <w:rFonts w:eastAsia="Times New Roman" w:cs="Arial"/>
                <w:sz w:val="22"/>
                <w:szCs w:val="22"/>
                <w:lang w:eastAsia="en-GB"/>
              </w:rPr>
            </w:pPr>
            <w:r w:rsidRPr="00396E00">
              <w:rPr>
                <w:rFonts w:eastAsia="Times New Roman" w:cs="Arial"/>
                <w:sz w:val="22"/>
                <w:szCs w:val="22"/>
                <w:lang w:eastAsia="en-GB"/>
              </w:rPr>
              <w:t>0.</w:t>
            </w:r>
            <w:r w:rsidR="00391EC0" w:rsidRPr="00396E00">
              <w:rPr>
                <w:rFonts w:eastAsia="Times New Roman" w:cs="Arial"/>
                <w:sz w:val="22"/>
                <w:szCs w:val="22"/>
                <w:lang w:eastAsia="en-GB"/>
              </w:rPr>
              <w:t>402</w:t>
            </w: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c>
          <w:tcPr>
            <w:tcW w:w="1457" w:type="dxa"/>
            <w:vAlign w:val="center"/>
            <w:hideMark/>
          </w:tcPr>
          <w:p w:rsidR="00D31557" w:rsidRPr="00396E00" w:rsidRDefault="00D31557" w:rsidP="007A3424">
            <w:pPr>
              <w:autoSpaceDE/>
              <w:autoSpaceDN/>
              <w:adjustRightInd/>
              <w:spacing w:after="0"/>
              <w:jc w:val="center"/>
              <w:rPr>
                <w:rFonts w:eastAsia="Times New Roman" w:cs="Arial"/>
                <w:sz w:val="22"/>
                <w:szCs w:val="22"/>
                <w:lang w:eastAsia="en-GB"/>
              </w:rPr>
            </w:pP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b/>
                <w:sz w:val="22"/>
                <w:szCs w:val="22"/>
                <w:lang w:eastAsia="en-GB"/>
              </w:rPr>
            </w:pPr>
            <w:r w:rsidRPr="00396E00">
              <w:rPr>
                <w:rFonts w:eastAsia="Times New Roman" w:cs="Arial"/>
                <w:b/>
                <w:sz w:val="22"/>
                <w:szCs w:val="22"/>
                <w:lang w:eastAsia="en-GB"/>
              </w:rPr>
              <w:t>Updated Resources</w:t>
            </w:r>
          </w:p>
        </w:tc>
        <w:tc>
          <w:tcPr>
            <w:tcW w:w="1456" w:type="dxa"/>
            <w:vAlign w:val="center"/>
            <w:hideMark/>
          </w:tcPr>
          <w:p w:rsidR="00D31557" w:rsidRPr="00396E00" w:rsidRDefault="001A3334" w:rsidP="00FD16B2">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711.25</w:t>
            </w:r>
            <w:r w:rsidR="00FD16B2" w:rsidRPr="00396E00">
              <w:rPr>
                <w:rFonts w:eastAsia="Times New Roman" w:cs="Arial"/>
                <w:b/>
                <w:sz w:val="22"/>
                <w:szCs w:val="22"/>
                <w:lang w:eastAsia="en-GB"/>
              </w:rPr>
              <w:t>8</w:t>
            </w:r>
          </w:p>
        </w:tc>
        <w:tc>
          <w:tcPr>
            <w:tcW w:w="1457" w:type="dxa"/>
            <w:vAlign w:val="center"/>
          </w:tcPr>
          <w:p w:rsidR="00D31557" w:rsidRPr="00396E00" w:rsidRDefault="001A3334"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688.695</w:t>
            </w:r>
          </w:p>
        </w:tc>
        <w:tc>
          <w:tcPr>
            <w:tcW w:w="1457" w:type="dxa"/>
            <w:vAlign w:val="center"/>
          </w:tcPr>
          <w:p w:rsidR="00D31557" w:rsidRPr="00396E00" w:rsidRDefault="001A3334"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681.161</w:t>
            </w:r>
          </w:p>
        </w:tc>
        <w:tc>
          <w:tcPr>
            <w:tcW w:w="1457" w:type="dxa"/>
            <w:vAlign w:val="center"/>
          </w:tcPr>
          <w:p w:rsidR="00D31557" w:rsidRPr="00396E00" w:rsidRDefault="001A3334"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675.284</w:t>
            </w:r>
          </w:p>
        </w:tc>
        <w:tc>
          <w:tcPr>
            <w:tcW w:w="1457" w:type="dxa"/>
            <w:vAlign w:val="center"/>
          </w:tcPr>
          <w:p w:rsidR="00D31557" w:rsidRPr="00396E00" w:rsidRDefault="001A3334"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675.429</w:t>
            </w:r>
          </w:p>
        </w:tc>
      </w:tr>
      <w:tr w:rsidR="00D31557" w:rsidRPr="00396E00" w:rsidTr="00396E00">
        <w:trPr>
          <w:trHeight w:val="671"/>
        </w:trPr>
        <w:tc>
          <w:tcPr>
            <w:tcW w:w="2120" w:type="dxa"/>
            <w:vAlign w:val="center"/>
            <w:hideMark/>
          </w:tcPr>
          <w:p w:rsidR="00D31557" w:rsidRPr="00396E00" w:rsidRDefault="00D31557" w:rsidP="00396E00">
            <w:pPr>
              <w:autoSpaceDE/>
              <w:autoSpaceDN/>
              <w:adjustRightInd/>
              <w:spacing w:after="0"/>
              <w:jc w:val="left"/>
              <w:rPr>
                <w:rFonts w:eastAsia="Times New Roman" w:cs="Arial"/>
                <w:b/>
                <w:sz w:val="22"/>
                <w:szCs w:val="22"/>
                <w:lang w:eastAsia="en-GB"/>
              </w:rPr>
            </w:pPr>
            <w:r w:rsidRPr="00396E00">
              <w:rPr>
                <w:rFonts w:eastAsia="Times New Roman" w:cs="Arial"/>
                <w:b/>
                <w:sz w:val="22"/>
                <w:szCs w:val="22"/>
                <w:lang w:eastAsia="en-GB"/>
              </w:rPr>
              <w:t>Change</w:t>
            </w:r>
            <w:r w:rsidR="007A3424" w:rsidRPr="00396E00">
              <w:rPr>
                <w:rFonts w:eastAsia="Times New Roman" w:cs="Arial"/>
                <w:b/>
                <w:sz w:val="22"/>
                <w:szCs w:val="22"/>
                <w:lang w:eastAsia="en-GB"/>
              </w:rPr>
              <w:t xml:space="preserve"> in year</w:t>
            </w:r>
          </w:p>
        </w:tc>
        <w:tc>
          <w:tcPr>
            <w:tcW w:w="1456" w:type="dxa"/>
            <w:vAlign w:val="center"/>
          </w:tcPr>
          <w:p w:rsidR="00D31557" w:rsidRPr="00396E00" w:rsidRDefault="00B36BCD" w:rsidP="00FD16B2">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6.22</w:t>
            </w:r>
            <w:r w:rsidR="00FD16B2" w:rsidRPr="00396E00">
              <w:rPr>
                <w:rFonts w:eastAsia="Times New Roman" w:cs="Arial"/>
                <w:b/>
                <w:sz w:val="22"/>
                <w:szCs w:val="22"/>
                <w:lang w:eastAsia="en-GB"/>
              </w:rPr>
              <w:t>4</w:t>
            </w:r>
          </w:p>
        </w:tc>
        <w:tc>
          <w:tcPr>
            <w:tcW w:w="1457" w:type="dxa"/>
            <w:vAlign w:val="center"/>
          </w:tcPr>
          <w:p w:rsidR="00D31557" w:rsidRPr="00396E00" w:rsidRDefault="00B36BCD"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4.474</w:t>
            </w:r>
          </w:p>
        </w:tc>
        <w:tc>
          <w:tcPr>
            <w:tcW w:w="1457" w:type="dxa"/>
            <w:vAlign w:val="center"/>
          </w:tcPr>
          <w:p w:rsidR="00D31557" w:rsidRPr="00396E00" w:rsidRDefault="00B36BCD"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12.184</w:t>
            </w:r>
          </w:p>
        </w:tc>
        <w:tc>
          <w:tcPr>
            <w:tcW w:w="1457" w:type="dxa"/>
            <w:vAlign w:val="center"/>
          </w:tcPr>
          <w:p w:rsidR="00D31557" w:rsidRPr="00396E00" w:rsidRDefault="00B36BCD"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11.503</w:t>
            </w:r>
          </w:p>
        </w:tc>
        <w:tc>
          <w:tcPr>
            <w:tcW w:w="1457" w:type="dxa"/>
            <w:vAlign w:val="center"/>
          </w:tcPr>
          <w:p w:rsidR="00D31557" w:rsidRPr="00396E00" w:rsidRDefault="00B36BCD"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11.503</w:t>
            </w:r>
          </w:p>
        </w:tc>
      </w:tr>
      <w:tr w:rsidR="00D31557" w:rsidRPr="00396E00" w:rsidTr="00B86F4F">
        <w:trPr>
          <w:trHeight w:val="671"/>
        </w:trPr>
        <w:tc>
          <w:tcPr>
            <w:tcW w:w="2120" w:type="dxa"/>
            <w:shd w:val="clear" w:color="auto" w:fill="BFBFBF" w:themeFill="background1" w:themeFillShade="BF"/>
            <w:vAlign w:val="center"/>
            <w:hideMark/>
          </w:tcPr>
          <w:p w:rsidR="00D31557" w:rsidRPr="00396E00" w:rsidRDefault="00D31557" w:rsidP="00396E00">
            <w:pPr>
              <w:autoSpaceDE/>
              <w:autoSpaceDN/>
              <w:adjustRightInd/>
              <w:spacing w:after="0"/>
              <w:jc w:val="left"/>
              <w:rPr>
                <w:rFonts w:eastAsia="Times New Roman" w:cs="Arial"/>
                <w:b/>
                <w:sz w:val="22"/>
                <w:szCs w:val="22"/>
                <w:lang w:eastAsia="en-GB"/>
              </w:rPr>
            </w:pPr>
            <w:r w:rsidRPr="00396E00">
              <w:rPr>
                <w:rFonts w:eastAsia="Times New Roman" w:cs="Arial"/>
                <w:b/>
                <w:sz w:val="22"/>
                <w:szCs w:val="22"/>
                <w:lang w:eastAsia="en-GB"/>
              </w:rPr>
              <w:t>Impact</w:t>
            </w:r>
            <w:r w:rsidR="007A3424" w:rsidRPr="00396E00">
              <w:rPr>
                <w:rFonts w:eastAsia="Times New Roman" w:cs="Arial"/>
                <w:b/>
                <w:sz w:val="22"/>
                <w:szCs w:val="22"/>
                <w:lang w:eastAsia="en-GB"/>
              </w:rPr>
              <w:t xml:space="preserve"> </w:t>
            </w:r>
            <w:r w:rsidRPr="00396E00">
              <w:rPr>
                <w:rFonts w:eastAsia="Times New Roman" w:cs="Arial"/>
                <w:b/>
                <w:sz w:val="22"/>
                <w:szCs w:val="22"/>
                <w:lang w:eastAsia="en-GB"/>
              </w:rPr>
              <w:t xml:space="preserve">on MTFS </w:t>
            </w:r>
            <w:r w:rsidR="00A47041" w:rsidRPr="00396E00">
              <w:rPr>
                <w:rFonts w:eastAsia="Times New Roman" w:cs="Arial"/>
                <w:b/>
                <w:sz w:val="22"/>
                <w:szCs w:val="22"/>
                <w:lang w:eastAsia="en-GB"/>
              </w:rPr>
              <w:t>F</w:t>
            </w:r>
            <w:r w:rsidRPr="00396E00">
              <w:rPr>
                <w:rFonts w:eastAsia="Times New Roman" w:cs="Arial"/>
                <w:b/>
                <w:sz w:val="22"/>
                <w:szCs w:val="22"/>
                <w:lang w:eastAsia="en-GB"/>
              </w:rPr>
              <w:t xml:space="preserve">unding </w:t>
            </w:r>
            <w:r w:rsidR="00A47041" w:rsidRPr="00396E00">
              <w:rPr>
                <w:rFonts w:eastAsia="Times New Roman" w:cs="Arial"/>
                <w:b/>
                <w:sz w:val="22"/>
                <w:szCs w:val="22"/>
                <w:lang w:eastAsia="en-GB"/>
              </w:rPr>
              <w:t>G</w:t>
            </w:r>
            <w:r w:rsidRPr="00396E00">
              <w:rPr>
                <w:rFonts w:eastAsia="Times New Roman" w:cs="Arial"/>
                <w:b/>
                <w:sz w:val="22"/>
                <w:szCs w:val="22"/>
                <w:lang w:eastAsia="en-GB"/>
              </w:rPr>
              <w:t>ap</w:t>
            </w:r>
          </w:p>
        </w:tc>
        <w:tc>
          <w:tcPr>
            <w:tcW w:w="1456" w:type="dxa"/>
            <w:shd w:val="clear" w:color="auto" w:fill="BFBFBF" w:themeFill="background1" w:themeFillShade="BF"/>
            <w:vAlign w:val="center"/>
          </w:tcPr>
          <w:p w:rsidR="00D31557" w:rsidRPr="00396E00" w:rsidRDefault="00B36BCD" w:rsidP="00FD16B2">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-6.22</w:t>
            </w:r>
            <w:r w:rsidR="00FD16B2" w:rsidRPr="00396E00">
              <w:rPr>
                <w:rFonts w:eastAsia="Times New Roman" w:cs="Arial"/>
                <w:b/>
                <w:sz w:val="22"/>
                <w:szCs w:val="22"/>
                <w:lang w:eastAsia="en-GB"/>
              </w:rPr>
              <w:t>4</w:t>
            </w:r>
          </w:p>
        </w:tc>
        <w:tc>
          <w:tcPr>
            <w:tcW w:w="1457" w:type="dxa"/>
            <w:shd w:val="clear" w:color="auto" w:fill="BFBFBF" w:themeFill="background1" w:themeFillShade="BF"/>
            <w:vAlign w:val="center"/>
          </w:tcPr>
          <w:p w:rsidR="00D31557" w:rsidRPr="00396E00" w:rsidRDefault="00B36BCD" w:rsidP="002A3DD0">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1.750</w:t>
            </w:r>
          </w:p>
        </w:tc>
        <w:tc>
          <w:tcPr>
            <w:tcW w:w="1457" w:type="dxa"/>
            <w:shd w:val="clear" w:color="auto" w:fill="BFBFBF" w:themeFill="background1" w:themeFillShade="BF"/>
            <w:vAlign w:val="center"/>
          </w:tcPr>
          <w:p w:rsidR="00D31557" w:rsidRPr="00396E00" w:rsidRDefault="00B36BCD" w:rsidP="002A3DD0">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-7.710</w:t>
            </w:r>
          </w:p>
        </w:tc>
        <w:tc>
          <w:tcPr>
            <w:tcW w:w="1457" w:type="dxa"/>
            <w:shd w:val="clear" w:color="auto" w:fill="BFBFBF" w:themeFill="background1" w:themeFillShade="BF"/>
            <w:vAlign w:val="center"/>
          </w:tcPr>
          <w:p w:rsidR="00D31557" w:rsidRPr="00396E00" w:rsidRDefault="00B36BCD" w:rsidP="002A3DD0">
            <w:pPr>
              <w:autoSpaceDE/>
              <w:autoSpaceDN/>
              <w:adjustRightInd/>
              <w:spacing w:after="0"/>
              <w:ind w:left="-169" w:firstLine="169"/>
              <w:jc w:val="center"/>
              <w:rPr>
                <w:rFonts w:eastAsia="Times New Roman" w:cs="Arial"/>
                <w:b/>
                <w:sz w:val="22"/>
                <w:szCs w:val="22"/>
                <w:lang w:eastAsia="en-GB"/>
              </w:rPr>
            </w:pPr>
            <w:r w:rsidRPr="00396E00">
              <w:rPr>
                <w:rFonts w:eastAsia="Times New Roman" w:cs="Arial"/>
                <w:b/>
                <w:sz w:val="22"/>
                <w:szCs w:val="22"/>
                <w:lang w:eastAsia="en-GB"/>
              </w:rPr>
              <w:t>0.681</w:t>
            </w:r>
          </w:p>
        </w:tc>
        <w:tc>
          <w:tcPr>
            <w:tcW w:w="1457" w:type="dxa"/>
            <w:shd w:val="clear" w:color="auto" w:fill="BFBFBF" w:themeFill="background1" w:themeFillShade="BF"/>
            <w:vAlign w:val="center"/>
          </w:tcPr>
          <w:p w:rsidR="00D31557" w:rsidRPr="00396E00" w:rsidRDefault="00B36BCD" w:rsidP="007A3424">
            <w:pPr>
              <w:autoSpaceDE/>
              <w:autoSpaceDN/>
              <w:adjustRightInd/>
              <w:spacing w:after="0"/>
              <w:jc w:val="center"/>
              <w:rPr>
                <w:rFonts w:eastAsia="Times New Roman" w:cs="Arial"/>
                <w:b/>
                <w:sz w:val="22"/>
                <w:szCs w:val="22"/>
                <w:lang w:eastAsia="en-GB"/>
              </w:rPr>
            </w:pPr>
            <w:r w:rsidRPr="00396E00">
              <w:rPr>
                <w:rFonts w:eastAsia="Times New Roman" w:cs="Arial"/>
                <w:b/>
                <w:sz w:val="22"/>
                <w:szCs w:val="22"/>
                <w:lang w:eastAsia="en-GB"/>
              </w:rPr>
              <w:t>0.000</w:t>
            </w:r>
          </w:p>
        </w:tc>
      </w:tr>
    </w:tbl>
    <w:p w:rsidR="00396E00" w:rsidRDefault="00396E00" w:rsidP="008D5D96">
      <w:pPr>
        <w:tabs>
          <w:tab w:val="left" w:pos="567"/>
          <w:tab w:val="left" w:pos="1134"/>
        </w:tabs>
        <w:spacing w:after="0"/>
        <w:rPr>
          <w:rFonts w:cs="Arial"/>
          <w:b/>
        </w:rPr>
      </w:pPr>
    </w:p>
    <w:p w:rsidR="00932C3B" w:rsidRPr="00472F78" w:rsidRDefault="00B76843" w:rsidP="008D5D96">
      <w:pPr>
        <w:tabs>
          <w:tab w:val="left" w:pos="567"/>
          <w:tab w:val="left" w:pos="1134"/>
        </w:tabs>
        <w:spacing w:after="0"/>
        <w:rPr>
          <w:rFonts w:cs="Arial"/>
          <w:b/>
        </w:rPr>
      </w:pPr>
      <w:r w:rsidRPr="00472F78">
        <w:rPr>
          <w:rFonts w:cs="Arial"/>
          <w:b/>
        </w:rPr>
        <w:t>3</w:t>
      </w:r>
      <w:r w:rsidR="00932C3B" w:rsidRPr="00472F78">
        <w:rPr>
          <w:rFonts w:cs="Arial"/>
          <w:b/>
        </w:rPr>
        <w:t>.</w:t>
      </w:r>
      <w:r w:rsidRPr="00472F78">
        <w:rPr>
          <w:rFonts w:cs="Arial"/>
          <w:b/>
        </w:rPr>
        <w:t xml:space="preserve"> Net </w:t>
      </w:r>
      <w:r w:rsidR="00932C3B" w:rsidRPr="00472F78">
        <w:rPr>
          <w:rFonts w:cs="Arial"/>
          <w:b/>
        </w:rPr>
        <w:t>Spending Pressures</w:t>
      </w:r>
    </w:p>
    <w:p w:rsidR="00D31557" w:rsidRPr="00472F78" w:rsidRDefault="00D31557" w:rsidP="008D5D96">
      <w:pPr>
        <w:tabs>
          <w:tab w:val="left" w:pos="567"/>
          <w:tab w:val="left" w:pos="1134"/>
        </w:tabs>
        <w:spacing w:after="0"/>
        <w:rPr>
          <w:rFonts w:cs="Arial"/>
          <w:b/>
        </w:rPr>
      </w:pPr>
    </w:p>
    <w:p w:rsidR="00932C3B" w:rsidRPr="00472F78" w:rsidRDefault="00D31557" w:rsidP="008D5D96">
      <w:pPr>
        <w:tabs>
          <w:tab w:val="left" w:pos="567"/>
          <w:tab w:val="left" w:pos="1134"/>
        </w:tabs>
        <w:spacing w:after="0"/>
        <w:rPr>
          <w:rFonts w:cs="Arial"/>
          <w:b/>
        </w:rPr>
      </w:pPr>
      <w:r w:rsidRPr="00472F78">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sidRPr="00472F78">
        <w:rPr>
          <w:rFonts w:cs="Arial"/>
          <w:b/>
        </w:rPr>
        <w:t>.</w:t>
      </w:r>
    </w:p>
    <w:p w:rsidR="008A6E38" w:rsidRPr="00472F78" w:rsidRDefault="008A6E38" w:rsidP="008D5D96">
      <w:pPr>
        <w:tabs>
          <w:tab w:val="left" w:pos="567"/>
          <w:tab w:val="left" w:pos="1134"/>
        </w:tabs>
        <w:spacing w:after="0"/>
        <w:rPr>
          <w:rFonts w:cs="Arial"/>
        </w:rPr>
      </w:pPr>
    </w:p>
    <w:p w:rsidR="0013756B" w:rsidRPr="00472F78" w:rsidRDefault="00DC1BB5" w:rsidP="008D5D96">
      <w:pPr>
        <w:spacing w:after="0"/>
        <w:rPr>
          <w:rFonts w:cs="Arial"/>
          <w:b/>
        </w:rPr>
      </w:pPr>
      <w:r w:rsidRPr="00472F78">
        <w:rPr>
          <w:rFonts w:cs="Arial"/>
          <w:b/>
        </w:rPr>
        <w:t>3</w:t>
      </w:r>
      <w:r w:rsidR="00145395" w:rsidRPr="00472F78">
        <w:rPr>
          <w:rFonts w:cs="Arial"/>
          <w:b/>
        </w:rPr>
        <w:t>.</w:t>
      </w:r>
      <w:r w:rsidRPr="00472F78">
        <w:rPr>
          <w:rFonts w:cs="Arial"/>
          <w:b/>
        </w:rPr>
        <w:t>1</w:t>
      </w:r>
      <w:r w:rsidR="00E57F56" w:rsidRPr="00472F78">
        <w:rPr>
          <w:rFonts w:cs="Arial"/>
          <w:b/>
        </w:rPr>
        <w:t xml:space="preserve"> </w:t>
      </w:r>
      <w:r w:rsidR="00D31557" w:rsidRPr="00472F78">
        <w:rPr>
          <w:rFonts w:cs="Arial"/>
          <w:b/>
        </w:rPr>
        <w:t>Pay</w:t>
      </w:r>
    </w:p>
    <w:p w:rsidR="00D31557" w:rsidRPr="00472F78" w:rsidRDefault="00D31557" w:rsidP="008D5D96">
      <w:pPr>
        <w:spacing w:after="0"/>
        <w:rPr>
          <w:rFonts w:cs="Arial"/>
          <w:b/>
        </w:rPr>
      </w:pPr>
    </w:p>
    <w:p w:rsidR="00D31557" w:rsidRPr="00472F78" w:rsidRDefault="00D31557" w:rsidP="00D31557">
      <w:pPr>
        <w:spacing w:after="0"/>
        <w:rPr>
          <w:rFonts w:cs="Arial"/>
        </w:rPr>
      </w:pPr>
      <w:r w:rsidRPr="00472F78">
        <w:rPr>
          <w:rFonts w:cs="Arial"/>
        </w:rPr>
        <w:t xml:space="preserve">In the July Budget the Chancellor announced a 4 year restriction on public sector pay increases at 1% per year. Using this as a guide the MTFS has included an assumed pay award of 1% for each of the years with the cost shown below. This assumption is unchanged since August. </w:t>
      </w:r>
    </w:p>
    <w:p w:rsidR="00D31557" w:rsidRPr="00472F78" w:rsidRDefault="00D31557" w:rsidP="00D31557">
      <w:pPr>
        <w:spacing w:after="0"/>
        <w:rPr>
          <w:rFonts w:cs="Arial"/>
        </w:rPr>
      </w:pPr>
    </w:p>
    <w:p w:rsidR="00D31557" w:rsidRPr="00472F78" w:rsidRDefault="00D31557" w:rsidP="00D31557">
      <w:pPr>
        <w:spacing w:after="0"/>
        <w:rPr>
          <w:rFonts w:cs="Arial"/>
        </w:rPr>
      </w:pPr>
      <w:r w:rsidRPr="00472F78">
        <w:rPr>
          <w:rFonts w:cs="Arial"/>
        </w:rPr>
        <w:t>However, a recent court case has concluded that holiday pay for those who work regular overtime should be based on overall pay, including overtime, and not just basic pay. To accommodate this change £0.648m relating to affected staff has been included as a new recurrent cost pressure.</w:t>
      </w:r>
    </w:p>
    <w:p w:rsidR="00D31557" w:rsidRPr="00D31557" w:rsidRDefault="00D31557" w:rsidP="00D31557">
      <w:pPr>
        <w:spacing w:after="0"/>
        <w:rPr>
          <w:rFonts w:cs="Arial"/>
        </w:rPr>
      </w:pPr>
    </w:p>
    <w:p w:rsidR="000A747F" w:rsidRDefault="000A747F" w:rsidP="00D31557">
      <w:pPr>
        <w:spacing w:after="0"/>
        <w:rPr>
          <w:rFonts w:cs="Arial"/>
        </w:rPr>
      </w:pPr>
    </w:p>
    <w:p w:rsidR="00D31557" w:rsidRPr="00D31557" w:rsidRDefault="00D31557" w:rsidP="00D31557">
      <w:pPr>
        <w:spacing w:after="0"/>
        <w:rPr>
          <w:rFonts w:cs="Arial"/>
        </w:rPr>
      </w:pPr>
      <w:r w:rsidRPr="00D31557">
        <w:rPr>
          <w:rFonts w:cs="Arial"/>
        </w:rPr>
        <w:lastRenderedPageBreak/>
        <w:t>These pressures are summarised in the table below:</w:t>
      </w:r>
    </w:p>
    <w:p w:rsidR="00D31557" w:rsidRPr="00D31557" w:rsidRDefault="00D31557" w:rsidP="00D31557">
      <w:pPr>
        <w:spacing w:after="0"/>
        <w:rPr>
          <w:rFonts w:cs="Arial"/>
        </w:rPr>
      </w:pPr>
    </w:p>
    <w:tbl>
      <w:tblPr>
        <w:tblStyle w:val="TableGrid8"/>
        <w:tblW w:w="8983" w:type="dxa"/>
        <w:tblLook w:val="04A0" w:firstRow="1" w:lastRow="0" w:firstColumn="1" w:lastColumn="0" w:noHBand="0" w:noVBand="1"/>
      </w:tblPr>
      <w:tblGrid>
        <w:gridCol w:w="2663"/>
        <w:gridCol w:w="1045"/>
        <w:gridCol w:w="1045"/>
        <w:gridCol w:w="1045"/>
        <w:gridCol w:w="1045"/>
        <w:gridCol w:w="1045"/>
        <w:gridCol w:w="1095"/>
      </w:tblGrid>
      <w:tr w:rsidR="00D31557" w:rsidRPr="00396E00" w:rsidTr="000C0795">
        <w:trPr>
          <w:trHeight w:val="724"/>
        </w:trPr>
        <w:tc>
          <w:tcPr>
            <w:tcW w:w="0" w:type="auto"/>
            <w:shd w:val="clear" w:color="auto" w:fill="BFBFBF" w:themeFill="background1" w:themeFillShade="BF"/>
          </w:tcPr>
          <w:p w:rsidR="00D31557" w:rsidRPr="00396E00" w:rsidRDefault="00D31557" w:rsidP="005B6A8A">
            <w:pPr>
              <w:tabs>
                <w:tab w:val="left" w:pos="567"/>
                <w:tab w:val="left" w:pos="1134"/>
              </w:tabs>
              <w:spacing w:after="0"/>
              <w:rPr>
                <w:rFonts w:cs="Arial"/>
                <w:sz w:val="22"/>
                <w:szCs w:val="22"/>
              </w:rPr>
            </w:pPr>
          </w:p>
        </w:tc>
        <w:tc>
          <w:tcPr>
            <w:tcW w:w="0" w:type="auto"/>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2016/17</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2017/18</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2018/19</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2019/20</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2020/21</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1095" w:type="dxa"/>
            <w:shd w:val="clear" w:color="auto" w:fill="BFBFBF" w:themeFill="background1" w:themeFillShade="BF"/>
            <w:vAlign w:val="center"/>
          </w:tcPr>
          <w:p w:rsidR="00D31557" w:rsidRDefault="00D31557" w:rsidP="005B6A8A">
            <w:pPr>
              <w:tabs>
                <w:tab w:val="left" w:pos="567"/>
                <w:tab w:val="left" w:pos="1134"/>
              </w:tabs>
              <w:spacing w:after="0"/>
              <w:jc w:val="center"/>
              <w:rPr>
                <w:rFonts w:cs="Arial"/>
                <w:b/>
                <w:sz w:val="22"/>
                <w:szCs w:val="22"/>
              </w:rPr>
            </w:pPr>
            <w:r w:rsidRPr="00396E00">
              <w:rPr>
                <w:rFonts w:cs="Arial"/>
                <w:b/>
                <w:sz w:val="22"/>
                <w:szCs w:val="22"/>
              </w:rPr>
              <w:t>Total</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r>
      <w:tr w:rsidR="00D31557" w:rsidRPr="00396E00" w:rsidTr="00396E00">
        <w:trPr>
          <w:trHeight w:val="593"/>
        </w:trPr>
        <w:tc>
          <w:tcPr>
            <w:tcW w:w="0" w:type="auto"/>
            <w:vAlign w:val="center"/>
          </w:tcPr>
          <w:p w:rsidR="00D31557" w:rsidRPr="00396E00" w:rsidRDefault="00D31557" w:rsidP="005B6A8A">
            <w:pPr>
              <w:tabs>
                <w:tab w:val="left" w:pos="567"/>
                <w:tab w:val="left" w:pos="1134"/>
              </w:tabs>
              <w:spacing w:after="0"/>
              <w:jc w:val="left"/>
              <w:rPr>
                <w:rFonts w:cs="Arial"/>
                <w:sz w:val="22"/>
                <w:szCs w:val="22"/>
              </w:rPr>
            </w:pPr>
            <w:r w:rsidRPr="00396E00">
              <w:rPr>
                <w:rFonts w:cs="Arial"/>
                <w:sz w:val="22"/>
                <w:szCs w:val="22"/>
              </w:rPr>
              <w:t>Impact of 1% pay award</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2.3</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2.3</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2.4</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2.4</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2.4</w:t>
            </w:r>
          </w:p>
        </w:tc>
        <w:tc>
          <w:tcPr>
            <w:tcW w:w="1095" w:type="dxa"/>
            <w:vAlign w:val="center"/>
          </w:tcPr>
          <w:p w:rsidR="00D31557" w:rsidRPr="00396E00" w:rsidRDefault="00D31557" w:rsidP="005B6A8A">
            <w:pPr>
              <w:tabs>
                <w:tab w:val="left" w:pos="567"/>
                <w:tab w:val="left" w:pos="1134"/>
              </w:tabs>
              <w:spacing w:after="0"/>
              <w:jc w:val="center"/>
              <w:rPr>
                <w:rFonts w:cs="Arial"/>
                <w:b/>
                <w:sz w:val="22"/>
                <w:szCs w:val="22"/>
              </w:rPr>
            </w:pPr>
            <w:r w:rsidRPr="00396E00">
              <w:rPr>
                <w:rFonts w:cs="Arial"/>
                <w:b/>
                <w:sz w:val="22"/>
                <w:szCs w:val="22"/>
              </w:rPr>
              <w:t>11.8</w:t>
            </w:r>
          </w:p>
        </w:tc>
      </w:tr>
      <w:tr w:rsidR="00D31557" w:rsidRPr="00396E00" w:rsidTr="00396E00">
        <w:trPr>
          <w:trHeight w:val="593"/>
        </w:trPr>
        <w:tc>
          <w:tcPr>
            <w:tcW w:w="0" w:type="auto"/>
            <w:vAlign w:val="center"/>
          </w:tcPr>
          <w:p w:rsidR="00D31557" w:rsidRPr="00396E00" w:rsidRDefault="00D31557" w:rsidP="005B6A8A">
            <w:pPr>
              <w:tabs>
                <w:tab w:val="left" w:pos="567"/>
                <w:tab w:val="left" w:pos="1134"/>
              </w:tabs>
              <w:spacing w:after="0"/>
              <w:jc w:val="left"/>
              <w:rPr>
                <w:rFonts w:cs="Arial"/>
                <w:sz w:val="22"/>
                <w:szCs w:val="22"/>
              </w:rPr>
            </w:pPr>
            <w:r w:rsidRPr="00396E00">
              <w:rPr>
                <w:rFonts w:cs="Arial"/>
                <w:sz w:val="22"/>
                <w:szCs w:val="22"/>
              </w:rPr>
              <w:t>Holiday pay costs</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r w:rsidRPr="00396E00">
              <w:rPr>
                <w:rFonts w:cs="Arial"/>
                <w:sz w:val="22"/>
                <w:szCs w:val="22"/>
              </w:rPr>
              <w:t>0.7</w:t>
            </w: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p>
        </w:tc>
        <w:tc>
          <w:tcPr>
            <w:tcW w:w="0" w:type="auto"/>
            <w:vAlign w:val="center"/>
          </w:tcPr>
          <w:p w:rsidR="00D31557" w:rsidRPr="00396E00" w:rsidRDefault="00D31557" w:rsidP="005B6A8A">
            <w:pPr>
              <w:tabs>
                <w:tab w:val="left" w:pos="567"/>
                <w:tab w:val="left" w:pos="1134"/>
              </w:tabs>
              <w:spacing w:after="0"/>
              <w:jc w:val="center"/>
              <w:rPr>
                <w:rFonts w:cs="Arial"/>
                <w:sz w:val="22"/>
                <w:szCs w:val="22"/>
              </w:rPr>
            </w:pPr>
          </w:p>
        </w:tc>
        <w:tc>
          <w:tcPr>
            <w:tcW w:w="1095" w:type="dxa"/>
            <w:vAlign w:val="center"/>
          </w:tcPr>
          <w:p w:rsidR="00D31557" w:rsidRPr="00396E00" w:rsidRDefault="00D31557" w:rsidP="005B6A8A">
            <w:pPr>
              <w:tabs>
                <w:tab w:val="left" w:pos="567"/>
                <w:tab w:val="left" w:pos="1134"/>
              </w:tabs>
              <w:spacing w:after="0"/>
              <w:jc w:val="center"/>
              <w:rPr>
                <w:rFonts w:cs="Arial"/>
                <w:b/>
                <w:sz w:val="22"/>
                <w:szCs w:val="22"/>
              </w:rPr>
            </w:pPr>
            <w:r w:rsidRPr="00396E00">
              <w:rPr>
                <w:rFonts w:cs="Arial"/>
                <w:b/>
                <w:sz w:val="22"/>
                <w:szCs w:val="22"/>
              </w:rPr>
              <w:t>0.7</w:t>
            </w:r>
          </w:p>
        </w:tc>
      </w:tr>
    </w:tbl>
    <w:p w:rsidR="00D31557" w:rsidRPr="00D31557" w:rsidRDefault="00D31557" w:rsidP="00D31557">
      <w:pPr>
        <w:spacing w:after="0"/>
        <w:rPr>
          <w:rFonts w:cs="Arial"/>
        </w:rPr>
      </w:pPr>
    </w:p>
    <w:p w:rsidR="00D31557" w:rsidRDefault="00D31557" w:rsidP="008D5D96">
      <w:pPr>
        <w:spacing w:after="0"/>
        <w:rPr>
          <w:rFonts w:cs="Arial"/>
        </w:rPr>
      </w:pPr>
      <w:r w:rsidRPr="00D31557">
        <w:rPr>
          <w:rFonts w:cs="Arial"/>
        </w:rPr>
        <w:t>The Chancellor also announced increases to the minimum wage for people aged over 25, referred to as the 'National Living Wage'.  This is completely separate to the Living Wage the County Council is committed to paying its employees as an accredited member of the Living Wage Foundation</w:t>
      </w:r>
      <w:r>
        <w:rPr>
          <w:rFonts w:cs="Arial"/>
        </w:rPr>
        <w:t>.</w:t>
      </w:r>
    </w:p>
    <w:p w:rsidR="00E37841" w:rsidRDefault="00E37841" w:rsidP="008D5D96">
      <w:pPr>
        <w:spacing w:after="0"/>
        <w:rPr>
          <w:rFonts w:cs="Arial"/>
        </w:rPr>
      </w:pPr>
    </w:p>
    <w:p w:rsidR="00D31557" w:rsidRDefault="00D31557" w:rsidP="008D5D96">
      <w:pPr>
        <w:spacing w:after="0"/>
        <w:rPr>
          <w:rFonts w:cs="Arial"/>
        </w:rPr>
      </w:pPr>
      <w:r>
        <w:rPr>
          <w:rFonts w:cs="Arial"/>
        </w:rPr>
        <w:t xml:space="preserve">Since the last MTFS the Living Wage Foundation has announced a 5% increase in its </w:t>
      </w:r>
      <w:r w:rsidR="002A09EE">
        <w:rPr>
          <w:rFonts w:cs="Arial"/>
        </w:rPr>
        <w:t>Living Wage. This is greater than initiall</w:t>
      </w:r>
      <w:r w:rsidR="00935FA0">
        <w:rPr>
          <w:rFonts w:cs="Arial"/>
        </w:rPr>
        <w:t>y anticipated. The impact of</w:t>
      </w:r>
      <w:r w:rsidR="002A09EE">
        <w:rPr>
          <w:rFonts w:cs="Arial"/>
        </w:rPr>
        <w:t xml:space="preserve"> having a 5% annual increase and the impact of more grades being incorporated into the Living Wage </w:t>
      </w:r>
      <w:r w:rsidR="001C68E2">
        <w:rPr>
          <w:rFonts w:cs="Arial"/>
        </w:rPr>
        <w:t xml:space="preserve">is being </w:t>
      </w:r>
      <w:r w:rsidR="002A09EE">
        <w:rPr>
          <w:rFonts w:cs="Arial"/>
        </w:rPr>
        <w:t>examined. An initial assessment of the costs show that the MTFS needs to be increased as follows:</w:t>
      </w:r>
    </w:p>
    <w:p w:rsidR="002A09EE" w:rsidRDefault="002A09EE" w:rsidP="008D5D96">
      <w:pPr>
        <w:spacing w:after="0"/>
        <w:rPr>
          <w:rFonts w:cs="Arial"/>
        </w:rPr>
      </w:pPr>
    </w:p>
    <w:tbl>
      <w:tblPr>
        <w:tblStyle w:val="TableGrid8"/>
        <w:tblW w:w="9124" w:type="dxa"/>
        <w:tblLook w:val="04A0" w:firstRow="1" w:lastRow="0" w:firstColumn="1" w:lastColumn="0" w:noHBand="0" w:noVBand="1"/>
      </w:tblPr>
      <w:tblGrid>
        <w:gridCol w:w="2572"/>
        <w:gridCol w:w="1088"/>
        <w:gridCol w:w="1088"/>
        <w:gridCol w:w="1088"/>
        <w:gridCol w:w="1088"/>
        <w:gridCol w:w="1088"/>
        <w:gridCol w:w="1112"/>
      </w:tblGrid>
      <w:tr w:rsidR="002A09EE" w:rsidRPr="00396E00" w:rsidTr="000C0795">
        <w:trPr>
          <w:trHeight w:val="664"/>
        </w:trPr>
        <w:tc>
          <w:tcPr>
            <w:tcW w:w="0" w:type="auto"/>
            <w:shd w:val="clear" w:color="auto" w:fill="BFBFBF" w:themeFill="background1" w:themeFillShade="BF"/>
          </w:tcPr>
          <w:p w:rsidR="002A09EE" w:rsidRPr="00396E00" w:rsidRDefault="002A09EE" w:rsidP="005B6A8A">
            <w:pPr>
              <w:tabs>
                <w:tab w:val="left" w:pos="567"/>
                <w:tab w:val="left" w:pos="1134"/>
              </w:tabs>
              <w:spacing w:after="0"/>
              <w:rPr>
                <w:rFonts w:cs="Arial"/>
                <w:sz w:val="22"/>
                <w:szCs w:val="22"/>
              </w:rPr>
            </w:pP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2016/17</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2017/18</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2018/19</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2019/20</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2020/21</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1112" w:type="dxa"/>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Total</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r>
      <w:tr w:rsidR="002A09EE" w:rsidRPr="00396E00" w:rsidTr="00396E00">
        <w:trPr>
          <w:trHeight w:val="664"/>
        </w:trPr>
        <w:tc>
          <w:tcPr>
            <w:tcW w:w="0" w:type="auto"/>
            <w:vAlign w:val="center"/>
          </w:tcPr>
          <w:p w:rsidR="002A09EE" w:rsidRPr="00396E00" w:rsidRDefault="002A09EE" w:rsidP="005B6A8A">
            <w:pPr>
              <w:tabs>
                <w:tab w:val="left" w:pos="567"/>
                <w:tab w:val="left" w:pos="1134"/>
              </w:tabs>
              <w:spacing w:after="0"/>
              <w:jc w:val="left"/>
              <w:rPr>
                <w:rFonts w:cs="Arial"/>
                <w:sz w:val="22"/>
                <w:szCs w:val="22"/>
              </w:rPr>
            </w:pPr>
            <w:r w:rsidRPr="00396E00">
              <w:rPr>
                <w:rFonts w:cs="Arial"/>
                <w:sz w:val="22"/>
                <w:szCs w:val="22"/>
              </w:rPr>
              <w:t>Impact of Living Wage</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0.624</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1.464</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0.923</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0.979</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1.039</w:t>
            </w:r>
          </w:p>
        </w:tc>
        <w:tc>
          <w:tcPr>
            <w:tcW w:w="1112" w:type="dxa"/>
            <w:vAlign w:val="center"/>
          </w:tcPr>
          <w:p w:rsidR="002A09EE" w:rsidRPr="00B86F4F" w:rsidRDefault="002A09EE" w:rsidP="005B6A8A">
            <w:pPr>
              <w:tabs>
                <w:tab w:val="left" w:pos="567"/>
                <w:tab w:val="left" w:pos="1134"/>
              </w:tabs>
              <w:spacing w:after="0"/>
              <w:jc w:val="center"/>
              <w:rPr>
                <w:rFonts w:cs="Arial"/>
                <w:b/>
                <w:sz w:val="22"/>
                <w:szCs w:val="22"/>
              </w:rPr>
            </w:pPr>
            <w:r w:rsidRPr="00B86F4F">
              <w:rPr>
                <w:rFonts w:cs="Arial"/>
                <w:b/>
                <w:sz w:val="22"/>
                <w:szCs w:val="22"/>
              </w:rPr>
              <w:t>5.029</w:t>
            </w:r>
          </w:p>
        </w:tc>
      </w:tr>
    </w:tbl>
    <w:p w:rsidR="00D31557" w:rsidRDefault="00D31557" w:rsidP="008D5D96">
      <w:pPr>
        <w:spacing w:after="0"/>
        <w:rPr>
          <w:rFonts w:cs="Arial"/>
          <w:b/>
        </w:rPr>
      </w:pPr>
    </w:p>
    <w:p w:rsidR="001C68E2" w:rsidRPr="0030660B" w:rsidRDefault="001C68E2" w:rsidP="008D5D96">
      <w:pPr>
        <w:spacing w:after="0"/>
        <w:rPr>
          <w:rFonts w:cs="Arial"/>
        </w:rPr>
      </w:pPr>
      <w:r w:rsidRPr="0030660B">
        <w:rPr>
          <w:rFonts w:cs="Arial"/>
        </w:rPr>
        <w:t xml:space="preserve">These costs are currently being reviewed in the light of more up to date information and are subject to change. </w:t>
      </w:r>
    </w:p>
    <w:p w:rsidR="001C68E2" w:rsidRPr="0030660B" w:rsidRDefault="001C68E2" w:rsidP="008D5D96">
      <w:pPr>
        <w:spacing w:after="0"/>
        <w:rPr>
          <w:rFonts w:cs="Arial"/>
        </w:rPr>
      </w:pPr>
    </w:p>
    <w:p w:rsidR="00D31557" w:rsidRPr="0030660B" w:rsidRDefault="002A09EE" w:rsidP="008D5D96">
      <w:pPr>
        <w:spacing w:after="0"/>
        <w:rPr>
          <w:rFonts w:cs="Arial"/>
        </w:rPr>
      </w:pPr>
      <w:r w:rsidRPr="0030660B">
        <w:rPr>
          <w:rFonts w:cs="Arial"/>
        </w:rPr>
        <w:t>This does not include the impact of any regrading required to maintain wage differences nor the impact of any of the budget options.</w:t>
      </w:r>
      <w:r w:rsidR="001C68E2" w:rsidRPr="0030660B">
        <w:rPr>
          <w:rFonts w:cs="Arial"/>
        </w:rPr>
        <w:t xml:space="preserve"> This wage differential between grades is a significant risk.</w:t>
      </w:r>
      <w:r w:rsidR="00E57F56" w:rsidRPr="0030660B">
        <w:rPr>
          <w:rFonts w:cs="Arial"/>
        </w:rPr>
        <w:t xml:space="preserve"> </w:t>
      </w:r>
      <w:r w:rsidR="00147F41">
        <w:rPr>
          <w:rFonts w:cs="Arial"/>
        </w:rPr>
        <w:t xml:space="preserve"> </w:t>
      </w:r>
      <w:r w:rsidR="001C68E2" w:rsidRPr="0030660B">
        <w:rPr>
          <w:rFonts w:cs="Arial"/>
        </w:rPr>
        <w:t xml:space="preserve">If the </w:t>
      </w:r>
      <w:r w:rsidR="000A4469">
        <w:rPr>
          <w:rFonts w:cs="Arial"/>
        </w:rPr>
        <w:t>County Council</w:t>
      </w:r>
      <w:r w:rsidR="001C68E2" w:rsidRPr="0030660B">
        <w:rPr>
          <w:rFonts w:cs="Arial"/>
        </w:rPr>
        <w:t xml:space="preserve"> was required to maintain the differentials there would be a significant additional cost. </w:t>
      </w:r>
      <w:r w:rsidR="00147F41">
        <w:rPr>
          <w:rFonts w:cs="Arial"/>
        </w:rPr>
        <w:t xml:space="preserve"> </w:t>
      </w:r>
      <w:r w:rsidR="001C68E2" w:rsidRPr="0030660B">
        <w:rPr>
          <w:rFonts w:cs="Arial"/>
        </w:rPr>
        <w:t xml:space="preserve">An initial </w:t>
      </w:r>
      <w:r w:rsidR="00147F41">
        <w:rPr>
          <w:rFonts w:cs="Arial"/>
        </w:rPr>
        <w:t>exercise to ascertain the cost indicates an a</w:t>
      </w:r>
      <w:r w:rsidR="001C68E2" w:rsidRPr="0030660B">
        <w:rPr>
          <w:rFonts w:cs="Arial"/>
        </w:rPr>
        <w:t>dditional £11m per year</w:t>
      </w:r>
      <w:r w:rsidR="00147F41">
        <w:rPr>
          <w:rFonts w:cs="Arial"/>
        </w:rPr>
        <w:t xml:space="preserve"> would need to be found</w:t>
      </w:r>
      <w:r w:rsidR="001C68E2" w:rsidRPr="0030660B">
        <w:rPr>
          <w:rFonts w:cs="Arial"/>
        </w:rPr>
        <w:t>.</w:t>
      </w:r>
    </w:p>
    <w:p w:rsidR="00E57F56" w:rsidRDefault="00E57F56" w:rsidP="008D5D96">
      <w:pPr>
        <w:spacing w:after="0"/>
        <w:rPr>
          <w:rFonts w:cs="Arial"/>
          <w:b/>
        </w:rPr>
      </w:pPr>
    </w:p>
    <w:p w:rsidR="002A09EE" w:rsidRDefault="002A09EE" w:rsidP="008D5D96">
      <w:pPr>
        <w:spacing w:after="0"/>
        <w:rPr>
          <w:rFonts w:cs="Arial"/>
          <w:b/>
        </w:rPr>
      </w:pPr>
      <w:r>
        <w:rPr>
          <w:rFonts w:cs="Arial"/>
          <w:b/>
        </w:rPr>
        <w:t>3.2 Price Inflation</w:t>
      </w:r>
    </w:p>
    <w:p w:rsidR="002A09EE" w:rsidRPr="008D5D96" w:rsidRDefault="002A09EE" w:rsidP="008D5D96">
      <w:pPr>
        <w:spacing w:after="0"/>
        <w:rPr>
          <w:rFonts w:cs="Arial"/>
          <w:b/>
        </w:rPr>
      </w:pPr>
    </w:p>
    <w:p w:rsidR="002A09EE" w:rsidRDefault="004866FB" w:rsidP="002A09EE">
      <w:pPr>
        <w:spacing w:after="0"/>
        <w:rPr>
          <w:rFonts w:cs="Arial"/>
        </w:rPr>
      </w:pPr>
      <w:r>
        <w:rPr>
          <w:rFonts w:cs="Arial"/>
        </w:rPr>
        <w:t>C</w:t>
      </w:r>
      <w:r w:rsidR="002A09EE" w:rsidRPr="00C15316">
        <w:rPr>
          <w:rFonts w:cs="Arial"/>
        </w:rPr>
        <w:t xml:space="preserve">ontractual price increases </w:t>
      </w:r>
      <w:r w:rsidR="002A09EE">
        <w:rPr>
          <w:rFonts w:cs="Arial"/>
        </w:rPr>
        <w:t>represent a significant cost pressure</w:t>
      </w:r>
      <w:r>
        <w:rPr>
          <w:rFonts w:cs="Arial"/>
        </w:rPr>
        <w:t xml:space="preserve"> and initially there was an estimated cost over the period of £106.5m.</w:t>
      </w:r>
      <w:r w:rsidR="002A09EE">
        <w:rPr>
          <w:rFonts w:cs="Arial"/>
        </w:rPr>
        <w:t xml:space="preserve"> </w:t>
      </w:r>
      <w:r>
        <w:rPr>
          <w:rFonts w:cs="Arial"/>
        </w:rPr>
        <w:t>T</w:t>
      </w:r>
      <w:r w:rsidR="002A09EE">
        <w:rPr>
          <w:rFonts w:cs="Arial"/>
        </w:rPr>
        <w:t xml:space="preserve">he assumptions have been </w:t>
      </w:r>
      <w:r>
        <w:rPr>
          <w:rFonts w:cs="Arial"/>
        </w:rPr>
        <w:t xml:space="preserve">subject to regular review </w:t>
      </w:r>
      <w:r w:rsidR="002A09EE">
        <w:rPr>
          <w:rFonts w:cs="Arial"/>
        </w:rPr>
        <w:t xml:space="preserve">by services </w:t>
      </w:r>
      <w:r w:rsidR="002A09EE" w:rsidRPr="00C15316">
        <w:rPr>
          <w:rFonts w:cs="Arial"/>
        </w:rPr>
        <w:t xml:space="preserve">and </w:t>
      </w:r>
      <w:r w:rsidR="002A09EE">
        <w:rPr>
          <w:rFonts w:cs="Arial"/>
        </w:rPr>
        <w:t xml:space="preserve">a reduction </w:t>
      </w:r>
      <w:r w:rsidR="002A09EE" w:rsidRPr="00EF4A1C">
        <w:rPr>
          <w:rFonts w:cs="Arial"/>
        </w:rPr>
        <w:t>of £15.4m</w:t>
      </w:r>
      <w:r>
        <w:rPr>
          <w:rFonts w:cs="Arial"/>
        </w:rPr>
        <w:t xml:space="preserve"> was identified in November. </w:t>
      </w:r>
      <w:r w:rsidR="00935FA0">
        <w:rPr>
          <w:rFonts w:cs="Arial"/>
        </w:rPr>
        <w:t xml:space="preserve"> Within t</w:t>
      </w:r>
      <w:r>
        <w:rPr>
          <w:rFonts w:cs="Arial"/>
        </w:rPr>
        <w:t>his MTFS there has been an increase in the price inflation £1.</w:t>
      </w:r>
      <w:r w:rsidR="00F53647">
        <w:rPr>
          <w:rFonts w:cs="Arial"/>
        </w:rPr>
        <w:t>7</w:t>
      </w:r>
      <w:r>
        <w:rPr>
          <w:rFonts w:cs="Arial"/>
        </w:rPr>
        <w:t>m identified from 2016/17 bringing the total price inflation in the year to £</w:t>
      </w:r>
      <w:r w:rsidR="00F53647">
        <w:rPr>
          <w:rFonts w:cs="Arial"/>
        </w:rPr>
        <w:t>92.8</w:t>
      </w:r>
      <w:r>
        <w:rPr>
          <w:rFonts w:cs="Arial"/>
        </w:rPr>
        <w:t>m</w:t>
      </w:r>
      <w:r w:rsidR="002A09EE">
        <w:rPr>
          <w:rFonts w:cs="Arial"/>
        </w:rPr>
        <w:t>.</w:t>
      </w:r>
    </w:p>
    <w:p w:rsidR="00A31E85" w:rsidRDefault="00A31E85">
      <w:pPr>
        <w:autoSpaceDE/>
        <w:autoSpaceDN/>
        <w:adjustRightInd/>
        <w:spacing w:after="0"/>
        <w:jc w:val="left"/>
        <w:rPr>
          <w:rFonts w:cs="Arial"/>
        </w:rPr>
      </w:pPr>
      <w:r>
        <w:rPr>
          <w:rFonts w:cs="Arial"/>
        </w:rPr>
        <w:br w:type="page"/>
      </w:r>
    </w:p>
    <w:p w:rsidR="000A747F" w:rsidRDefault="000A747F" w:rsidP="002A09EE">
      <w:pPr>
        <w:spacing w:after="0"/>
        <w:rPr>
          <w:rFonts w:cs="Arial"/>
        </w:rPr>
      </w:pPr>
    </w:p>
    <w:tbl>
      <w:tblPr>
        <w:tblStyle w:val="TableGrid"/>
        <w:tblW w:w="9209" w:type="dxa"/>
        <w:tblLook w:val="04A0" w:firstRow="1" w:lastRow="0" w:firstColumn="1" w:lastColumn="0" w:noHBand="0" w:noVBand="1"/>
      </w:tblPr>
      <w:tblGrid>
        <w:gridCol w:w="3166"/>
        <w:gridCol w:w="1012"/>
        <w:gridCol w:w="1012"/>
        <w:gridCol w:w="1012"/>
        <w:gridCol w:w="1012"/>
        <w:gridCol w:w="1012"/>
        <w:gridCol w:w="983"/>
      </w:tblGrid>
      <w:tr w:rsidR="002A09EE" w:rsidRPr="00396E00" w:rsidTr="000C0795">
        <w:trPr>
          <w:trHeight w:val="684"/>
        </w:trPr>
        <w:tc>
          <w:tcPr>
            <w:tcW w:w="0" w:type="auto"/>
            <w:shd w:val="clear" w:color="auto" w:fill="BFBFBF" w:themeFill="background1" w:themeFillShade="BF"/>
          </w:tcPr>
          <w:p w:rsidR="002A09EE" w:rsidRPr="00396E00" w:rsidRDefault="002A09EE" w:rsidP="005B6A8A">
            <w:pPr>
              <w:tabs>
                <w:tab w:val="left" w:pos="567"/>
                <w:tab w:val="left" w:pos="1134"/>
              </w:tabs>
              <w:spacing w:after="0"/>
              <w:rPr>
                <w:rFonts w:cs="Arial"/>
                <w:sz w:val="22"/>
                <w:szCs w:val="22"/>
              </w:rPr>
            </w:pP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2016/17</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2017/18</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2018/19</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2019/20</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2020/21</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c>
          <w:tcPr>
            <w:tcW w:w="983" w:type="dxa"/>
            <w:shd w:val="clear" w:color="auto" w:fill="BFBFBF" w:themeFill="background1" w:themeFillShade="BF"/>
            <w:vAlign w:val="center"/>
          </w:tcPr>
          <w:p w:rsidR="002A09EE" w:rsidRDefault="002A09EE" w:rsidP="005B6A8A">
            <w:pPr>
              <w:tabs>
                <w:tab w:val="left" w:pos="567"/>
                <w:tab w:val="left" w:pos="1134"/>
              </w:tabs>
              <w:spacing w:after="0"/>
              <w:jc w:val="center"/>
              <w:rPr>
                <w:rFonts w:cs="Arial"/>
                <w:b/>
                <w:sz w:val="22"/>
                <w:szCs w:val="22"/>
              </w:rPr>
            </w:pPr>
            <w:r w:rsidRPr="00396E00">
              <w:rPr>
                <w:rFonts w:cs="Arial"/>
                <w:b/>
                <w:sz w:val="22"/>
                <w:szCs w:val="22"/>
              </w:rPr>
              <w:t>Total</w:t>
            </w:r>
          </w:p>
          <w:p w:rsidR="00396E00" w:rsidRPr="00396E00" w:rsidRDefault="00396E00" w:rsidP="005B6A8A">
            <w:pPr>
              <w:tabs>
                <w:tab w:val="left" w:pos="567"/>
                <w:tab w:val="left" w:pos="1134"/>
              </w:tabs>
              <w:spacing w:after="0"/>
              <w:jc w:val="center"/>
              <w:rPr>
                <w:rFonts w:cs="Arial"/>
                <w:b/>
                <w:sz w:val="22"/>
                <w:szCs w:val="22"/>
              </w:rPr>
            </w:pPr>
            <w:r>
              <w:rPr>
                <w:rFonts w:cs="Arial"/>
                <w:b/>
                <w:sz w:val="22"/>
                <w:szCs w:val="22"/>
              </w:rPr>
              <w:t>£m</w:t>
            </w:r>
          </w:p>
        </w:tc>
      </w:tr>
      <w:tr w:rsidR="002A09EE" w:rsidRPr="00396E00" w:rsidTr="00396E00">
        <w:trPr>
          <w:trHeight w:val="684"/>
        </w:trPr>
        <w:tc>
          <w:tcPr>
            <w:tcW w:w="0" w:type="auto"/>
            <w:vAlign w:val="center"/>
          </w:tcPr>
          <w:p w:rsidR="002A09EE" w:rsidRPr="00396E00" w:rsidRDefault="002A09EE" w:rsidP="005B6A8A">
            <w:pPr>
              <w:tabs>
                <w:tab w:val="left" w:pos="567"/>
                <w:tab w:val="left" w:pos="1134"/>
              </w:tabs>
              <w:spacing w:after="0"/>
              <w:jc w:val="left"/>
              <w:rPr>
                <w:rFonts w:cs="Arial"/>
                <w:sz w:val="22"/>
                <w:szCs w:val="22"/>
              </w:rPr>
            </w:pPr>
            <w:r w:rsidRPr="00396E00">
              <w:rPr>
                <w:rFonts w:cs="Arial"/>
                <w:sz w:val="22"/>
                <w:szCs w:val="22"/>
              </w:rPr>
              <w:t>Total price inflation</w:t>
            </w:r>
          </w:p>
        </w:tc>
        <w:tc>
          <w:tcPr>
            <w:tcW w:w="0" w:type="auto"/>
            <w:vAlign w:val="center"/>
          </w:tcPr>
          <w:p w:rsidR="002A09EE" w:rsidRPr="00396E00" w:rsidRDefault="004866FB" w:rsidP="005B6A8A">
            <w:pPr>
              <w:tabs>
                <w:tab w:val="left" w:pos="567"/>
                <w:tab w:val="left" w:pos="1134"/>
              </w:tabs>
              <w:spacing w:after="0"/>
              <w:jc w:val="center"/>
              <w:rPr>
                <w:rFonts w:cs="Arial"/>
                <w:sz w:val="22"/>
                <w:szCs w:val="22"/>
              </w:rPr>
            </w:pPr>
            <w:r w:rsidRPr="00396E00">
              <w:rPr>
                <w:rFonts w:cs="Arial"/>
                <w:sz w:val="22"/>
                <w:szCs w:val="22"/>
              </w:rPr>
              <w:t>22.9</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16.5</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16.5</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17.4</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r w:rsidRPr="00396E00">
              <w:rPr>
                <w:rFonts w:cs="Arial"/>
                <w:sz w:val="22"/>
                <w:szCs w:val="22"/>
              </w:rPr>
              <w:t>19.5</w:t>
            </w:r>
          </w:p>
        </w:tc>
        <w:tc>
          <w:tcPr>
            <w:tcW w:w="983" w:type="dxa"/>
            <w:vAlign w:val="center"/>
          </w:tcPr>
          <w:p w:rsidR="002A09EE" w:rsidRPr="00B86F4F" w:rsidRDefault="007F4050" w:rsidP="007F4050">
            <w:pPr>
              <w:tabs>
                <w:tab w:val="left" w:pos="567"/>
                <w:tab w:val="left" w:pos="1134"/>
              </w:tabs>
              <w:spacing w:after="0"/>
              <w:jc w:val="center"/>
              <w:rPr>
                <w:rFonts w:cs="Arial"/>
                <w:b/>
                <w:sz w:val="22"/>
                <w:szCs w:val="22"/>
              </w:rPr>
            </w:pPr>
            <w:r w:rsidRPr="00B86F4F">
              <w:rPr>
                <w:rFonts w:cs="Arial"/>
                <w:b/>
                <w:sz w:val="22"/>
                <w:szCs w:val="22"/>
              </w:rPr>
              <w:t>92</w:t>
            </w:r>
            <w:r w:rsidR="002A09EE" w:rsidRPr="00B86F4F">
              <w:rPr>
                <w:rFonts w:cs="Arial"/>
                <w:b/>
                <w:sz w:val="22"/>
                <w:szCs w:val="22"/>
              </w:rPr>
              <w:t>.</w:t>
            </w:r>
            <w:r w:rsidR="00F53647" w:rsidRPr="00B86F4F">
              <w:rPr>
                <w:rFonts w:cs="Arial"/>
                <w:b/>
                <w:sz w:val="22"/>
                <w:szCs w:val="22"/>
              </w:rPr>
              <w:t>8</w:t>
            </w:r>
          </w:p>
        </w:tc>
      </w:tr>
      <w:tr w:rsidR="002A09EE" w:rsidRPr="00396E00" w:rsidTr="00396E00">
        <w:trPr>
          <w:trHeight w:val="684"/>
        </w:trPr>
        <w:tc>
          <w:tcPr>
            <w:tcW w:w="0" w:type="auto"/>
            <w:vAlign w:val="center"/>
          </w:tcPr>
          <w:p w:rsidR="002A09EE" w:rsidRPr="00396E00" w:rsidRDefault="002A09EE" w:rsidP="005B6A8A">
            <w:pPr>
              <w:tabs>
                <w:tab w:val="left" w:pos="567"/>
                <w:tab w:val="left" w:pos="1134"/>
              </w:tabs>
              <w:spacing w:after="0"/>
              <w:jc w:val="left"/>
              <w:rPr>
                <w:rFonts w:cs="Arial"/>
                <w:sz w:val="22"/>
                <w:szCs w:val="22"/>
              </w:rPr>
            </w:pPr>
            <w:r w:rsidRPr="00396E00">
              <w:rPr>
                <w:rFonts w:cs="Arial"/>
                <w:sz w:val="22"/>
                <w:szCs w:val="22"/>
              </w:rPr>
              <w:t>Impact of revised price inflation assumptions</w:t>
            </w:r>
          </w:p>
        </w:tc>
        <w:tc>
          <w:tcPr>
            <w:tcW w:w="0" w:type="auto"/>
            <w:vAlign w:val="center"/>
          </w:tcPr>
          <w:p w:rsidR="002A09EE" w:rsidRPr="00396E00" w:rsidRDefault="004866FB" w:rsidP="005B6A8A">
            <w:pPr>
              <w:tabs>
                <w:tab w:val="left" w:pos="567"/>
                <w:tab w:val="left" w:pos="1134"/>
              </w:tabs>
              <w:spacing w:after="0"/>
              <w:jc w:val="center"/>
              <w:rPr>
                <w:rFonts w:cs="Arial"/>
                <w:sz w:val="22"/>
                <w:szCs w:val="22"/>
              </w:rPr>
            </w:pPr>
            <w:r w:rsidRPr="00396E00">
              <w:rPr>
                <w:rFonts w:cs="Arial"/>
                <w:sz w:val="22"/>
                <w:szCs w:val="22"/>
              </w:rPr>
              <w:t>1.7</w:t>
            </w: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p>
        </w:tc>
        <w:tc>
          <w:tcPr>
            <w:tcW w:w="0" w:type="auto"/>
            <w:vAlign w:val="center"/>
          </w:tcPr>
          <w:p w:rsidR="002A09EE" w:rsidRPr="00396E00" w:rsidRDefault="002A09EE" w:rsidP="005B6A8A">
            <w:pPr>
              <w:tabs>
                <w:tab w:val="left" w:pos="567"/>
                <w:tab w:val="left" w:pos="1134"/>
              </w:tabs>
              <w:spacing w:after="0"/>
              <w:jc w:val="center"/>
              <w:rPr>
                <w:rFonts w:cs="Arial"/>
                <w:sz w:val="22"/>
                <w:szCs w:val="22"/>
              </w:rPr>
            </w:pPr>
          </w:p>
        </w:tc>
        <w:tc>
          <w:tcPr>
            <w:tcW w:w="983" w:type="dxa"/>
            <w:vAlign w:val="center"/>
          </w:tcPr>
          <w:p w:rsidR="002A09EE" w:rsidRPr="00B86F4F" w:rsidRDefault="00B86F4F" w:rsidP="005B6A8A">
            <w:pPr>
              <w:tabs>
                <w:tab w:val="left" w:pos="567"/>
                <w:tab w:val="left" w:pos="1134"/>
              </w:tabs>
              <w:spacing w:after="0"/>
              <w:jc w:val="center"/>
              <w:rPr>
                <w:rFonts w:cs="Arial"/>
                <w:b/>
                <w:sz w:val="22"/>
                <w:szCs w:val="22"/>
              </w:rPr>
            </w:pPr>
            <w:r w:rsidRPr="00B86F4F">
              <w:rPr>
                <w:rFonts w:cs="Arial"/>
                <w:b/>
                <w:sz w:val="22"/>
                <w:szCs w:val="22"/>
              </w:rPr>
              <w:t>1.7</w:t>
            </w:r>
          </w:p>
        </w:tc>
      </w:tr>
    </w:tbl>
    <w:p w:rsidR="002A09EE" w:rsidRDefault="002A09EE" w:rsidP="002A09EE">
      <w:pPr>
        <w:spacing w:after="0"/>
        <w:rPr>
          <w:rFonts w:cs="Arial"/>
        </w:rPr>
      </w:pPr>
    </w:p>
    <w:p w:rsidR="002A09EE" w:rsidRDefault="002A09EE" w:rsidP="002A09EE">
      <w:pPr>
        <w:spacing w:after="0"/>
        <w:rPr>
          <w:rFonts w:cs="Arial"/>
        </w:rPr>
      </w:pPr>
      <w:r w:rsidRPr="000F0E5F">
        <w:rPr>
          <w:rFonts w:cs="Arial"/>
        </w:rPr>
        <w:t>Some of the key areas of price pressure are:</w:t>
      </w:r>
    </w:p>
    <w:p w:rsidR="002A09EE" w:rsidRPr="000F0E5F" w:rsidRDefault="002A09EE" w:rsidP="002A09EE">
      <w:pPr>
        <w:spacing w:after="0"/>
        <w:rPr>
          <w:rFonts w:cs="Arial"/>
        </w:rPr>
      </w:pPr>
    </w:p>
    <w:p w:rsidR="002A09EE" w:rsidRPr="009A71EE" w:rsidRDefault="002A09EE" w:rsidP="009A71EE">
      <w:pPr>
        <w:spacing w:after="0"/>
        <w:rPr>
          <w:rFonts w:cs="Arial"/>
        </w:rPr>
      </w:pPr>
      <w:r w:rsidRPr="009A71EE">
        <w:rPr>
          <w:rFonts w:cs="Arial"/>
        </w:rPr>
        <w:t>An estimated £58m over the period for payments to external providers of social care attract annual inflation in order for the fees paid by the County Council to keep up with increases in the price of resources for suppliers. The County Council has a legal responsibility to demonstrate the suppliers are able to deliver services with the fees paid to them. The inflation assumptions used for externally provided social care are set out below and are based on the application of relevant inflation rates to a costing model:</w:t>
      </w:r>
    </w:p>
    <w:p w:rsidR="009A71EE" w:rsidRPr="000F0E5F" w:rsidRDefault="009A71EE" w:rsidP="009A71EE">
      <w:pPr>
        <w:pStyle w:val="ListParagraph"/>
        <w:spacing w:after="0"/>
        <w:ind w:left="780"/>
        <w:rPr>
          <w:rFonts w:cs="Arial"/>
        </w:rPr>
      </w:pPr>
    </w:p>
    <w:tbl>
      <w:tblPr>
        <w:tblpPr w:leftFromText="180" w:rightFromText="180" w:vertAnchor="text" w:horzAnchor="page" w:tblpXSpec="center" w:tblpY="30"/>
        <w:tblW w:w="8968" w:type="dxa"/>
        <w:tblLayout w:type="fixed"/>
        <w:tblLook w:val="04A0" w:firstRow="1" w:lastRow="0" w:firstColumn="1" w:lastColumn="0" w:noHBand="0" w:noVBand="1"/>
      </w:tblPr>
      <w:tblGrid>
        <w:gridCol w:w="2677"/>
        <w:gridCol w:w="1259"/>
        <w:gridCol w:w="1257"/>
        <w:gridCol w:w="1259"/>
        <w:gridCol w:w="1257"/>
        <w:gridCol w:w="1259"/>
      </w:tblGrid>
      <w:tr w:rsidR="002A09EE" w:rsidRPr="00396E00" w:rsidTr="000A747F">
        <w:trPr>
          <w:trHeight w:val="259"/>
        </w:trPr>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left"/>
              <w:rPr>
                <w:rFonts w:eastAsia="Times New Roman" w:cs="Arial"/>
                <w:b/>
                <w:bCs/>
                <w:sz w:val="22"/>
                <w:szCs w:val="22"/>
                <w:lang w:eastAsia="en-GB"/>
              </w:rPr>
            </w:pPr>
          </w:p>
          <w:p w:rsidR="002A09EE" w:rsidRPr="00396E00" w:rsidRDefault="002A09EE" w:rsidP="005B6A8A">
            <w:pPr>
              <w:spacing w:after="0"/>
              <w:jc w:val="left"/>
              <w:rPr>
                <w:rFonts w:eastAsia="Times New Roman" w:cs="Arial"/>
                <w:b/>
                <w:bCs/>
                <w:sz w:val="22"/>
                <w:szCs w:val="22"/>
                <w:lang w:eastAsia="en-GB"/>
              </w:rPr>
            </w:pPr>
            <w:r w:rsidRPr="00396E00">
              <w:rPr>
                <w:rFonts w:eastAsia="Times New Roman" w:cs="Arial"/>
                <w:b/>
                <w:bCs/>
                <w:sz w:val="22"/>
                <w:szCs w:val="22"/>
                <w:lang w:eastAsia="en-GB"/>
              </w:rPr>
              <w:t>Service</w:t>
            </w:r>
          </w:p>
          <w:p w:rsidR="002A09EE" w:rsidRPr="00396E00" w:rsidRDefault="002A09EE" w:rsidP="005B6A8A">
            <w:pPr>
              <w:spacing w:after="0"/>
              <w:jc w:val="left"/>
              <w:rPr>
                <w:rFonts w:eastAsia="Times New Roman" w:cs="Arial"/>
                <w:b/>
                <w:bCs/>
                <w:sz w:val="22"/>
                <w:szCs w:val="22"/>
                <w:lang w:eastAsia="en-GB"/>
              </w:rPr>
            </w:pP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center"/>
              <w:rPr>
                <w:rFonts w:eastAsia="Times New Roman" w:cs="Arial"/>
                <w:b/>
                <w:sz w:val="22"/>
                <w:szCs w:val="22"/>
                <w:lang w:eastAsia="en-GB"/>
              </w:rPr>
            </w:pPr>
            <w:r w:rsidRPr="00396E00">
              <w:rPr>
                <w:rFonts w:eastAsia="Times New Roman" w:cs="Arial"/>
                <w:b/>
                <w:sz w:val="22"/>
                <w:szCs w:val="22"/>
                <w:lang w:eastAsia="en-GB"/>
              </w:rPr>
              <w:t>2016/17</w:t>
            </w:r>
          </w:p>
          <w:p w:rsidR="002A09EE" w:rsidRPr="00396E00" w:rsidRDefault="002A09EE" w:rsidP="005B6A8A">
            <w:pPr>
              <w:spacing w:after="0"/>
              <w:jc w:val="center"/>
              <w:rPr>
                <w:rFonts w:eastAsia="Times New Roman" w:cs="Arial"/>
                <w:b/>
                <w:sz w:val="22"/>
                <w:szCs w:val="22"/>
                <w:lang w:eastAsia="en-GB"/>
              </w:rPr>
            </w:pPr>
          </w:p>
        </w:tc>
        <w:tc>
          <w:tcPr>
            <w:tcW w:w="125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center"/>
              <w:rPr>
                <w:rFonts w:eastAsia="Times New Roman" w:cs="Arial"/>
                <w:b/>
                <w:sz w:val="22"/>
                <w:szCs w:val="22"/>
                <w:lang w:eastAsia="en-GB"/>
              </w:rPr>
            </w:pPr>
            <w:r w:rsidRPr="00396E00">
              <w:rPr>
                <w:rFonts w:eastAsia="Times New Roman" w:cs="Arial"/>
                <w:b/>
                <w:sz w:val="22"/>
                <w:szCs w:val="22"/>
                <w:lang w:eastAsia="en-GB"/>
              </w:rPr>
              <w:t>2017/18</w:t>
            </w:r>
          </w:p>
          <w:p w:rsidR="002A09EE" w:rsidRPr="00396E00" w:rsidRDefault="002A09EE" w:rsidP="005B6A8A">
            <w:pPr>
              <w:spacing w:after="0"/>
              <w:jc w:val="center"/>
              <w:rPr>
                <w:rFonts w:eastAsia="Times New Roman" w:cs="Arial"/>
                <w:b/>
                <w:sz w:val="22"/>
                <w:szCs w:val="22"/>
                <w:lang w:eastAsia="en-GB"/>
              </w:rPr>
            </w:pP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center"/>
              <w:rPr>
                <w:rFonts w:eastAsia="Times New Roman" w:cs="Arial"/>
                <w:b/>
                <w:sz w:val="22"/>
                <w:szCs w:val="22"/>
                <w:lang w:eastAsia="en-GB"/>
              </w:rPr>
            </w:pPr>
            <w:r w:rsidRPr="00396E00">
              <w:rPr>
                <w:rFonts w:eastAsia="Times New Roman" w:cs="Arial"/>
                <w:b/>
                <w:sz w:val="22"/>
                <w:szCs w:val="22"/>
                <w:lang w:eastAsia="en-GB"/>
              </w:rPr>
              <w:t>2018/19</w:t>
            </w:r>
          </w:p>
          <w:p w:rsidR="002A09EE" w:rsidRPr="00396E00" w:rsidRDefault="002A09EE" w:rsidP="005B6A8A">
            <w:pPr>
              <w:spacing w:after="0"/>
              <w:jc w:val="center"/>
              <w:rPr>
                <w:rFonts w:eastAsia="Times New Roman" w:cs="Arial"/>
                <w:b/>
                <w:sz w:val="22"/>
                <w:szCs w:val="22"/>
                <w:lang w:eastAsia="en-GB"/>
              </w:rPr>
            </w:pPr>
          </w:p>
        </w:tc>
        <w:tc>
          <w:tcPr>
            <w:tcW w:w="125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center"/>
              <w:rPr>
                <w:rFonts w:eastAsia="Times New Roman" w:cs="Arial"/>
                <w:b/>
                <w:sz w:val="22"/>
                <w:szCs w:val="22"/>
                <w:lang w:eastAsia="en-GB"/>
              </w:rPr>
            </w:pPr>
            <w:r w:rsidRPr="00396E00">
              <w:rPr>
                <w:rFonts w:eastAsia="Times New Roman" w:cs="Arial"/>
                <w:b/>
                <w:sz w:val="22"/>
                <w:szCs w:val="22"/>
                <w:lang w:eastAsia="en-GB"/>
              </w:rPr>
              <w:t>2019/20</w:t>
            </w:r>
          </w:p>
          <w:p w:rsidR="002A09EE" w:rsidRPr="00396E00" w:rsidRDefault="002A09EE" w:rsidP="005B6A8A">
            <w:pPr>
              <w:spacing w:after="0"/>
              <w:jc w:val="center"/>
              <w:rPr>
                <w:rFonts w:eastAsia="Times New Roman" w:cs="Arial"/>
                <w:b/>
                <w:sz w:val="22"/>
                <w:szCs w:val="22"/>
                <w:lang w:eastAsia="en-GB"/>
              </w:rPr>
            </w:pPr>
          </w:p>
        </w:tc>
        <w:tc>
          <w:tcPr>
            <w:tcW w:w="125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A09EE" w:rsidRPr="00396E00" w:rsidRDefault="002A09EE" w:rsidP="005B6A8A">
            <w:pPr>
              <w:spacing w:after="0"/>
              <w:jc w:val="center"/>
              <w:rPr>
                <w:rFonts w:eastAsia="Times New Roman" w:cs="Arial"/>
                <w:b/>
                <w:sz w:val="22"/>
                <w:szCs w:val="22"/>
                <w:lang w:eastAsia="en-GB"/>
              </w:rPr>
            </w:pPr>
            <w:r w:rsidRPr="00396E00">
              <w:rPr>
                <w:rFonts w:eastAsia="Times New Roman" w:cs="Arial"/>
                <w:b/>
                <w:sz w:val="22"/>
                <w:szCs w:val="22"/>
                <w:lang w:eastAsia="en-GB"/>
              </w:rPr>
              <w:t>2020/21</w:t>
            </w:r>
          </w:p>
          <w:p w:rsidR="002A09EE" w:rsidRPr="00396E00" w:rsidRDefault="002A09EE" w:rsidP="005B6A8A">
            <w:pPr>
              <w:spacing w:after="0"/>
              <w:jc w:val="center"/>
              <w:rPr>
                <w:rFonts w:eastAsia="Times New Roman" w:cs="Arial"/>
                <w:b/>
                <w:sz w:val="22"/>
                <w:szCs w:val="22"/>
                <w:lang w:eastAsia="en-GB"/>
              </w:rPr>
            </w:pPr>
          </w:p>
        </w:tc>
      </w:tr>
      <w:tr w:rsidR="002A09EE" w:rsidRPr="00396E00" w:rsidTr="000A747F">
        <w:trPr>
          <w:trHeight w:val="368"/>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9EE" w:rsidRPr="00396E00" w:rsidRDefault="002A09EE" w:rsidP="005B6A8A">
            <w:pPr>
              <w:spacing w:after="0"/>
              <w:jc w:val="left"/>
              <w:rPr>
                <w:rFonts w:eastAsia="Times New Roman" w:cs="Arial"/>
                <w:b/>
                <w:bCs/>
                <w:sz w:val="22"/>
                <w:szCs w:val="22"/>
                <w:lang w:eastAsia="en-GB"/>
              </w:rPr>
            </w:pPr>
            <w:r w:rsidRPr="00396E00">
              <w:rPr>
                <w:rFonts w:eastAsia="Times New Roman" w:cs="Arial"/>
                <w:b/>
                <w:bCs/>
                <w:sz w:val="22"/>
                <w:szCs w:val="22"/>
                <w:lang w:eastAsia="en-GB"/>
              </w:rPr>
              <w:t>Nursing Care</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2.5%</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2.7%</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2.9%</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2.9%</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2.9%</w:t>
            </w:r>
          </w:p>
        </w:tc>
      </w:tr>
      <w:tr w:rsidR="002A09EE" w:rsidRPr="00396E00" w:rsidTr="000A747F">
        <w:trPr>
          <w:trHeight w:val="417"/>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2A09EE" w:rsidRPr="00396E00" w:rsidRDefault="002A09EE" w:rsidP="005B6A8A">
            <w:pPr>
              <w:spacing w:after="0"/>
              <w:jc w:val="left"/>
              <w:rPr>
                <w:rFonts w:eastAsia="Times New Roman" w:cs="Arial"/>
                <w:b/>
                <w:bCs/>
                <w:sz w:val="22"/>
                <w:szCs w:val="22"/>
                <w:lang w:eastAsia="en-GB"/>
              </w:rPr>
            </w:pPr>
            <w:r w:rsidRPr="00396E00">
              <w:rPr>
                <w:rFonts w:eastAsia="Times New Roman" w:cs="Arial"/>
                <w:b/>
                <w:bCs/>
                <w:sz w:val="22"/>
                <w:szCs w:val="22"/>
                <w:lang w:eastAsia="en-GB"/>
              </w:rPr>
              <w:t>Residential Care</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2.6%</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2.9%</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3.0%</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3.1%</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3.1%</w:t>
            </w:r>
          </w:p>
        </w:tc>
      </w:tr>
      <w:tr w:rsidR="002A09EE" w:rsidRPr="00396E00" w:rsidTr="000A747F">
        <w:trPr>
          <w:trHeight w:val="423"/>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2A09EE" w:rsidRPr="00396E00" w:rsidRDefault="002A09EE" w:rsidP="005B6A8A">
            <w:pPr>
              <w:spacing w:after="0"/>
              <w:jc w:val="left"/>
              <w:rPr>
                <w:rFonts w:eastAsia="Times New Roman" w:cs="Arial"/>
                <w:b/>
                <w:bCs/>
                <w:sz w:val="22"/>
                <w:szCs w:val="22"/>
                <w:lang w:eastAsia="en-GB"/>
              </w:rPr>
            </w:pPr>
            <w:r w:rsidRPr="00396E00">
              <w:rPr>
                <w:rFonts w:eastAsia="Times New Roman" w:cs="Arial"/>
                <w:b/>
                <w:bCs/>
                <w:sz w:val="22"/>
                <w:szCs w:val="22"/>
                <w:lang w:eastAsia="en-GB"/>
              </w:rPr>
              <w:t>Domiciliary Care</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2.5%</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2.6%</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2.7%</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2.7%</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2.7%</w:t>
            </w:r>
          </w:p>
        </w:tc>
      </w:tr>
      <w:tr w:rsidR="002A09EE" w:rsidRPr="00396E00" w:rsidTr="000A747F">
        <w:trPr>
          <w:trHeight w:val="4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2A09EE" w:rsidRPr="00396E00" w:rsidRDefault="002A09EE" w:rsidP="005B6A8A">
            <w:pPr>
              <w:spacing w:after="0"/>
              <w:jc w:val="left"/>
              <w:rPr>
                <w:rFonts w:eastAsia="Times New Roman" w:cs="Arial"/>
                <w:b/>
                <w:bCs/>
                <w:sz w:val="22"/>
                <w:szCs w:val="22"/>
                <w:lang w:eastAsia="en-GB"/>
              </w:rPr>
            </w:pPr>
            <w:r w:rsidRPr="00396E00">
              <w:rPr>
                <w:rFonts w:eastAsia="Times New Roman" w:cs="Arial"/>
                <w:b/>
                <w:bCs/>
                <w:sz w:val="22"/>
                <w:szCs w:val="22"/>
                <w:lang w:eastAsia="en-GB"/>
              </w:rPr>
              <w:t>RPI</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2.2%</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3.0%</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3.1%</w:t>
            </w:r>
          </w:p>
        </w:tc>
        <w:tc>
          <w:tcPr>
            <w:tcW w:w="1257"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3.1%</w:t>
            </w:r>
          </w:p>
        </w:tc>
        <w:tc>
          <w:tcPr>
            <w:tcW w:w="1259" w:type="dxa"/>
            <w:tcBorders>
              <w:top w:val="nil"/>
              <w:left w:val="nil"/>
              <w:bottom w:val="single" w:sz="4" w:space="0" w:color="auto"/>
              <w:right w:val="single" w:sz="4" w:space="0" w:color="auto"/>
            </w:tcBorders>
            <w:shd w:val="clear" w:color="auto" w:fill="auto"/>
            <w:noWrap/>
            <w:vAlign w:val="center"/>
            <w:hideMark/>
          </w:tcPr>
          <w:p w:rsidR="002A09EE" w:rsidRPr="00396E00" w:rsidRDefault="002A09EE" w:rsidP="005B6A8A">
            <w:pPr>
              <w:spacing w:after="0"/>
              <w:jc w:val="center"/>
              <w:rPr>
                <w:rFonts w:eastAsia="Times New Roman" w:cs="Arial"/>
                <w:sz w:val="22"/>
                <w:szCs w:val="22"/>
                <w:lang w:eastAsia="en-GB"/>
              </w:rPr>
            </w:pPr>
            <w:r w:rsidRPr="00396E00">
              <w:rPr>
                <w:rFonts w:eastAsia="Times New Roman" w:cs="Arial"/>
                <w:sz w:val="22"/>
                <w:szCs w:val="22"/>
                <w:lang w:eastAsia="en-GB"/>
              </w:rPr>
              <w:t>3.1%</w:t>
            </w:r>
          </w:p>
        </w:tc>
      </w:tr>
    </w:tbl>
    <w:p w:rsidR="002A09EE" w:rsidRPr="00396E00" w:rsidRDefault="002A09EE" w:rsidP="002A09EE">
      <w:pPr>
        <w:spacing w:after="0"/>
        <w:rPr>
          <w:rFonts w:cs="Arial"/>
          <w:sz w:val="22"/>
          <w:szCs w:val="22"/>
        </w:rPr>
      </w:pPr>
    </w:p>
    <w:p w:rsidR="002A09EE" w:rsidRPr="00472F78" w:rsidRDefault="002A09EE" w:rsidP="000A4469">
      <w:pPr>
        <w:pStyle w:val="ListParagraph"/>
        <w:numPr>
          <w:ilvl w:val="0"/>
          <w:numId w:val="48"/>
        </w:numPr>
        <w:spacing w:after="0"/>
        <w:rPr>
          <w:rFonts w:cs="Arial"/>
        </w:rPr>
      </w:pPr>
      <w:r w:rsidRPr="00472F78">
        <w:rPr>
          <w:rFonts w:cs="Arial"/>
        </w:rPr>
        <w:t>£12.3m for the provision of waste disposal</w:t>
      </w:r>
      <w:r w:rsidR="00F7670E" w:rsidRPr="00472F78">
        <w:rPr>
          <w:rFonts w:cs="Arial"/>
        </w:rPr>
        <w:t xml:space="preserve"> over the period of the MTFS.</w:t>
      </w:r>
      <w:r w:rsidRPr="00472F78">
        <w:rPr>
          <w:rFonts w:cs="Arial"/>
        </w:rPr>
        <w:t xml:space="preserve"> </w:t>
      </w:r>
    </w:p>
    <w:p w:rsidR="009A71EE" w:rsidRPr="00472F78" w:rsidRDefault="009A71EE" w:rsidP="009A71EE">
      <w:pPr>
        <w:spacing w:after="0"/>
        <w:rPr>
          <w:rFonts w:cs="Arial"/>
        </w:rPr>
      </w:pPr>
    </w:p>
    <w:p w:rsidR="002A09EE" w:rsidRPr="00472F78" w:rsidRDefault="002A09EE" w:rsidP="000A4469">
      <w:pPr>
        <w:pStyle w:val="ListParagraph"/>
        <w:numPr>
          <w:ilvl w:val="0"/>
          <w:numId w:val="48"/>
        </w:numPr>
        <w:autoSpaceDE/>
        <w:autoSpaceDN/>
        <w:adjustRightInd/>
        <w:spacing w:after="0"/>
        <w:rPr>
          <w:rFonts w:cs="Arial"/>
        </w:rPr>
      </w:pPr>
      <w:r w:rsidRPr="00472F78">
        <w:rPr>
          <w:rFonts w:cs="Arial"/>
        </w:rPr>
        <w:t>£5.6m on children's social care including agency payments, residence orders, foster and other allowances and payments to health. The payments to the health service are assumed to be at 1% in line with the pay award while the agency payments are capped at 2% per annum. Other allowances are generally at 2.2%.</w:t>
      </w:r>
    </w:p>
    <w:p w:rsidR="001459AE" w:rsidRPr="00472F78" w:rsidRDefault="001459AE" w:rsidP="001459AE">
      <w:pPr>
        <w:autoSpaceDE/>
        <w:autoSpaceDN/>
        <w:adjustRightInd/>
        <w:spacing w:after="0"/>
        <w:ind w:left="420"/>
        <w:rPr>
          <w:rFonts w:cs="Arial"/>
        </w:rPr>
      </w:pPr>
    </w:p>
    <w:p w:rsidR="00F53647" w:rsidRPr="00472F78" w:rsidRDefault="00F53647" w:rsidP="00D41390">
      <w:pPr>
        <w:autoSpaceDE/>
        <w:autoSpaceDN/>
        <w:adjustRightInd/>
        <w:spacing w:after="0"/>
        <w:jc w:val="left"/>
        <w:rPr>
          <w:rFonts w:cs="Arial"/>
          <w:b/>
        </w:rPr>
      </w:pPr>
      <w:r w:rsidRPr="00472F78">
        <w:rPr>
          <w:rFonts w:cs="Arial"/>
          <w:b/>
        </w:rPr>
        <w:t xml:space="preserve">3.3   National Living Wage </w:t>
      </w:r>
    </w:p>
    <w:p w:rsidR="00F53647" w:rsidRPr="00472F78" w:rsidRDefault="00F53647" w:rsidP="00F53647">
      <w:pPr>
        <w:spacing w:after="0"/>
        <w:rPr>
          <w:rFonts w:cs="Arial"/>
          <w:b/>
        </w:rPr>
      </w:pPr>
    </w:p>
    <w:p w:rsidR="00F53647" w:rsidRPr="00472F78" w:rsidRDefault="00F53647" w:rsidP="000C0795">
      <w:pPr>
        <w:shd w:val="clear" w:color="auto" w:fill="FFFFFF"/>
        <w:tabs>
          <w:tab w:val="left" w:pos="567"/>
          <w:tab w:val="left" w:pos="1134"/>
        </w:tabs>
        <w:spacing w:after="0"/>
        <w:rPr>
          <w:rFonts w:eastAsia="Times New Roman" w:cs="Arial"/>
          <w:lang w:eastAsia="en-GB"/>
        </w:rPr>
      </w:pPr>
      <w:r w:rsidRPr="00472F78">
        <w:rPr>
          <w:rFonts w:eastAsia="Times New Roman" w:cs="Arial"/>
          <w:lang w:eastAsia="en-GB"/>
        </w:rPr>
        <w:t>In his budget in July the Chancellor announced the introduction of a new National Living Wage for all workers aged 25 and over.  This was included as a risk in the previous report but reflects compulsory rates that organisations must pay their staff beginning with a rate of £7.20 per hour from 1</w:t>
      </w:r>
      <w:r w:rsidRPr="00472F78">
        <w:rPr>
          <w:rFonts w:eastAsia="Times New Roman" w:cs="Arial"/>
          <w:vertAlign w:val="superscript"/>
          <w:lang w:eastAsia="en-GB"/>
        </w:rPr>
        <w:t>st</w:t>
      </w:r>
      <w:r w:rsidRPr="00472F78">
        <w:rPr>
          <w:rFonts w:eastAsia="Times New Roman" w:cs="Arial"/>
          <w:lang w:eastAsia="en-GB"/>
        </w:rPr>
        <w:t xml:space="preserve"> April 2016. It is anticipated that this will rise incrementally each year to at least £9 per hour in 2020 and is a cost pressure that has been recognised as significant nationally. </w:t>
      </w:r>
    </w:p>
    <w:p w:rsidR="00F53647" w:rsidRPr="00472F78" w:rsidRDefault="00F53647" w:rsidP="000C0795">
      <w:pPr>
        <w:shd w:val="clear" w:color="auto" w:fill="FFFFFF"/>
        <w:tabs>
          <w:tab w:val="left" w:pos="567"/>
          <w:tab w:val="left" w:pos="1134"/>
        </w:tabs>
        <w:spacing w:after="0"/>
        <w:rPr>
          <w:rFonts w:eastAsia="Times New Roman" w:cs="Arial"/>
          <w:lang w:eastAsia="en-GB"/>
        </w:rPr>
      </w:pPr>
    </w:p>
    <w:p w:rsidR="00F53647" w:rsidRPr="00472F78" w:rsidRDefault="00F53647" w:rsidP="000C0795">
      <w:pPr>
        <w:autoSpaceDE/>
        <w:autoSpaceDN/>
        <w:adjustRightInd/>
        <w:spacing w:after="0"/>
        <w:rPr>
          <w:rFonts w:cs="Arial"/>
          <w:b/>
        </w:rPr>
      </w:pPr>
      <w:r w:rsidRPr="00472F78">
        <w:rPr>
          <w:rFonts w:cs="Arial"/>
        </w:rPr>
        <w:t xml:space="preserve">Whilst the impact of the newly announced National Living Wage has no impact on the </w:t>
      </w:r>
      <w:r w:rsidR="00935FA0" w:rsidRPr="00472F78">
        <w:rPr>
          <w:rFonts w:cs="Arial"/>
        </w:rPr>
        <w:t>costs already forecast for the C</w:t>
      </w:r>
      <w:r w:rsidRPr="00472F78">
        <w:rPr>
          <w:rFonts w:cs="Arial"/>
        </w:rPr>
        <w:t xml:space="preserve">ouncil's own employees due the Living Wage Foundation impact outlined in 3.1, it is expected to impact significantly on the rates paid to providers of Adult Social Care commissioned services. It is now estimated that </w:t>
      </w:r>
      <w:r w:rsidRPr="00472F78">
        <w:rPr>
          <w:rFonts w:cs="Arial"/>
        </w:rPr>
        <w:lastRenderedPageBreak/>
        <w:t>the County Council will incur additional costs over the period of £34.6m due to the implementation of the National Living wage. These have now been built into the MTFS position</w:t>
      </w:r>
      <w:r w:rsidRPr="00472F78">
        <w:rPr>
          <w:rFonts w:cs="Arial"/>
          <w:b/>
        </w:rPr>
        <w:t>.</w:t>
      </w:r>
    </w:p>
    <w:p w:rsidR="00F53647" w:rsidRPr="00472F78" w:rsidRDefault="00F53647" w:rsidP="00F53647">
      <w:pPr>
        <w:autoSpaceDE/>
        <w:autoSpaceDN/>
        <w:adjustRightInd/>
        <w:spacing w:after="0"/>
        <w:jc w:val="left"/>
        <w:rPr>
          <w:rFonts w:cs="Arial"/>
          <w:b/>
        </w:rPr>
      </w:pPr>
    </w:p>
    <w:p w:rsidR="00F53647" w:rsidRPr="00472F78" w:rsidRDefault="00F53647" w:rsidP="00F53647">
      <w:pPr>
        <w:tabs>
          <w:tab w:val="left" w:pos="567"/>
          <w:tab w:val="left" w:pos="1134"/>
        </w:tabs>
        <w:spacing w:after="0"/>
        <w:rPr>
          <w:rFonts w:cs="Arial"/>
          <w:b/>
        </w:rPr>
      </w:pPr>
      <w:r w:rsidRPr="00472F78">
        <w:rPr>
          <w:rFonts w:cs="Arial"/>
          <w:b/>
        </w:rPr>
        <w:t>3.4</w:t>
      </w:r>
      <w:r w:rsidRPr="00472F78">
        <w:rPr>
          <w:rFonts w:cs="Arial"/>
          <w:b/>
        </w:rPr>
        <w:tab/>
        <w:t>Demand Pressures</w:t>
      </w:r>
    </w:p>
    <w:p w:rsidR="00F53647" w:rsidRPr="00472F78" w:rsidRDefault="00F53647" w:rsidP="00F53647">
      <w:pPr>
        <w:tabs>
          <w:tab w:val="left" w:pos="567"/>
          <w:tab w:val="left" w:pos="1134"/>
        </w:tabs>
        <w:spacing w:after="0"/>
        <w:rPr>
          <w:rFonts w:cs="Arial"/>
          <w:b/>
        </w:rPr>
      </w:pPr>
    </w:p>
    <w:p w:rsidR="00F53647" w:rsidRPr="00472F78" w:rsidRDefault="00F53647" w:rsidP="00F53647">
      <w:pPr>
        <w:tabs>
          <w:tab w:val="left" w:pos="567"/>
          <w:tab w:val="left" w:pos="1134"/>
        </w:tabs>
        <w:spacing w:after="0"/>
        <w:rPr>
          <w:rFonts w:cs="Arial"/>
        </w:rPr>
      </w:pPr>
      <w:r w:rsidRPr="00472F78">
        <w:rPr>
          <w:rFonts w:cs="Arial"/>
        </w:rPr>
        <w:t>All services have reviewed the demand pressures faced b</w:t>
      </w:r>
      <w:r w:rsidR="00935FA0" w:rsidRPr="00472F78">
        <w:rPr>
          <w:rFonts w:cs="Arial"/>
        </w:rPr>
        <w:t xml:space="preserve">y the </w:t>
      </w:r>
      <w:r w:rsidR="000A4469" w:rsidRPr="00472F78">
        <w:rPr>
          <w:rFonts w:cs="Arial"/>
        </w:rPr>
        <w:t xml:space="preserve">County </w:t>
      </w:r>
      <w:r w:rsidR="00935FA0" w:rsidRPr="00472F78">
        <w:rPr>
          <w:rFonts w:cs="Arial"/>
        </w:rPr>
        <w:t>C</w:t>
      </w:r>
      <w:r w:rsidRPr="00472F78">
        <w:rPr>
          <w:rFonts w:cs="Arial"/>
        </w:rPr>
        <w:t>ouncil in future years. The impact of this review has been identified and is reflected in the revised MTFS and it can be seen that a significant proportion of the funding gap that has been identified is due to demand pressures.</w:t>
      </w:r>
    </w:p>
    <w:p w:rsidR="00F53647" w:rsidRPr="00472F78" w:rsidRDefault="00F53647" w:rsidP="00F53647">
      <w:pPr>
        <w:tabs>
          <w:tab w:val="left" w:pos="567"/>
          <w:tab w:val="left" w:pos="1134"/>
        </w:tabs>
        <w:spacing w:after="0"/>
        <w:rPr>
          <w:rFonts w:cs="Arial"/>
        </w:rPr>
      </w:pPr>
    </w:p>
    <w:p w:rsidR="00F53647" w:rsidRPr="00472F78" w:rsidRDefault="00F53647" w:rsidP="00F53647">
      <w:pPr>
        <w:tabs>
          <w:tab w:val="left" w:pos="567"/>
          <w:tab w:val="left" w:pos="1134"/>
        </w:tabs>
        <w:spacing w:after="0"/>
        <w:rPr>
          <w:rFonts w:cs="Arial"/>
        </w:rPr>
      </w:pPr>
      <w:r w:rsidRPr="00472F78">
        <w:rPr>
          <w:rFonts w:cs="Arial"/>
        </w:rPr>
        <w:t>In total it is estimated that the demand pressures are £97.4m. This is unchanged from the MTFS reported in November.</w:t>
      </w:r>
    </w:p>
    <w:p w:rsidR="00F53647" w:rsidRDefault="00F53647" w:rsidP="00F53647">
      <w:pPr>
        <w:autoSpaceDE/>
        <w:autoSpaceDN/>
        <w:adjustRightInd/>
        <w:spacing w:after="0"/>
        <w:jc w:val="left"/>
        <w:rPr>
          <w:rFonts w:cs="Arial"/>
          <w:b/>
        </w:rPr>
      </w:pPr>
    </w:p>
    <w:tbl>
      <w:tblPr>
        <w:tblStyle w:val="TableGrid"/>
        <w:tblW w:w="9209" w:type="dxa"/>
        <w:tblLook w:val="04A0" w:firstRow="1" w:lastRow="0" w:firstColumn="1" w:lastColumn="0" w:noHBand="0" w:noVBand="1"/>
      </w:tblPr>
      <w:tblGrid>
        <w:gridCol w:w="2706"/>
        <w:gridCol w:w="1104"/>
        <w:gridCol w:w="1104"/>
        <w:gridCol w:w="1104"/>
        <w:gridCol w:w="1104"/>
        <w:gridCol w:w="1104"/>
        <w:gridCol w:w="983"/>
      </w:tblGrid>
      <w:tr w:rsidR="00F53647" w:rsidRPr="000C0795" w:rsidTr="000C0795">
        <w:trPr>
          <w:trHeight w:val="620"/>
        </w:trPr>
        <w:tc>
          <w:tcPr>
            <w:tcW w:w="0" w:type="auto"/>
            <w:shd w:val="clear" w:color="auto" w:fill="BFBFBF" w:themeFill="background1" w:themeFillShade="BF"/>
          </w:tcPr>
          <w:p w:rsidR="00F53647" w:rsidRPr="000C0795" w:rsidRDefault="00F53647" w:rsidP="000C0795">
            <w:pPr>
              <w:tabs>
                <w:tab w:val="left" w:pos="567"/>
                <w:tab w:val="left" w:pos="1134"/>
              </w:tabs>
              <w:spacing w:after="0"/>
              <w:jc w:val="center"/>
              <w:rPr>
                <w:rFonts w:cs="Arial"/>
                <w:b/>
                <w:sz w:val="22"/>
                <w:szCs w:val="22"/>
              </w:rPr>
            </w:pPr>
          </w:p>
        </w:tc>
        <w:tc>
          <w:tcPr>
            <w:tcW w:w="0" w:type="auto"/>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2016/17</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2017/18</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2018/19</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2019/20</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c>
          <w:tcPr>
            <w:tcW w:w="0" w:type="auto"/>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2020/21</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c>
          <w:tcPr>
            <w:tcW w:w="983" w:type="dxa"/>
            <w:shd w:val="clear" w:color="auto" w:fill="BFBFBF" w:themeFill="background1" w:themeFillShade="BF"/>
            <w:vAlign w:val="center"/>
          </w:tcPr>
          <w:p w:rsidR="00F53647" w:rsidRDefault="00F53647" w:rsidP="000C0795">
            <w:pPr>
              <w:tabs>
                <w:tab w:val="left" w:pos="567"/>
                <w:tab w:val="left" w:pos="1134"/>
              </w:tabs>
              <w:spacing w:after="0"/>
              <w:jc w:val="center"/>
              <w:rPr>
                <w:rFonts w:cs="Arial"/>
                <w:b/>
                <w:sz w:val="22"/>
                <w:szCs w:val="22"/>
              </w:rPr>
            </w:pPr>
            <w:r w:rsidRPr="000C0795">
              <w:rPr>
                <w:rFonts w:cs="Arial"/>
                <w:b/>
                <w:sz w:val="22"/>
                <w:szCs w:val="22"/>
              </w:rPr>
              <w:t>Total</w:t>
            </w:r>
          </w:p>
          <w:p w:rsidR="000C0795" w:rsidRPr="000C0795" w:rsidRDefault="000C0795" w:rsidP="000C0795">
            <w:pPr>
              <w:tabs>
                <w:tab w:val="left" w:pos="567"/>
                <w:tab w:val="left" w:pos="1134"/>
              </w:tabs>
              <w:spacing w:after="0"/>
              <w:jc w:val="center"/>
              <w:rPr>
                <w:rFonts w:cs="Arial"/>
                <w:b/>
                <w:sz w:val="22"/>
                <w:szCs w:val="22"/>
              </w:rPr>
            </w:pPr>
            <w:r>
              <w:rPr>
                <w:rFonts w:cs="Arial"/>
                <w:b/>
                <w:sz w:val="22"/>
                <w:szCs w:val="22"/>
              </w:rPr>
              <w:t>£m</w:t>
            </w:r>
          </w:p>
        </w:tc>
      </w:tr>
      <w:tr w:rsidR="00F53647" w:rsidRPr="000C0795" w:rsidTr="000C0795">
        <w:trPr>
          <w:trHeight w:val="670"/>
        </w:trPr>
        <w:tc>
          <w:tcPr>
            <w:tcW w:w="0" w:type="auto"/>
            <w:vAlign w:val="center"/>
          </w:tcPr>
          <w:p w:rsidR="00F53647" w:rsidRPr="000C0795" w:rsidRDefault="00F53647" w:rsidP="000C0795">
            <w:pPr>
              <w:tabs>
                <w:tab w:val="left" w:pos="567"/>
                <w:tab w:val="left" w:pos="1134"/>
              </w:tabs>
              <w:spacing w:after="0"/>
              <w:jc w:val="left"/>
              <w:rPr>
                <w:rFonts w:cs="Arial"/>
                <w:sz w:val="22"/>
                <w:szCs w:val="22"/>
              </w:rPr>
            </w:pPr>
            <w:r w:rsidRPr="000C0795">
              <w:rPr>
                <w:rFonts w:cs="Arial"/>
                <w:sz w:val="22"/>
                <w:szCs w:val="22"/>
              </w:rPr>
              <w:t>Total demand pressure</w:t>
            </w:r>
          </w:p>
        </w:tc>
        <w:tc>
          <w:tcPr>
            <w:tcW w:w="0" w:type="auto"/>
            <w:vAlign w:val="center"/>
          </w:tcPr>
          <w:p w:rsidR="00F53647" w:rsidRPr="000C0795" w:rsidRDefault="00F53647" w:rsidP="000C0795">
            <w:pPr>
              <w:tabs>
                <w:tab w:val="left" w:pos="567"/>
                <w:tab w:val="left" w:pos="1134"/>
              </w:tabs>
              <w:spacing w:after="0"/>
              <w:jc w:val="center"/>
              <w:rPr>
                <w:rFonts w:cs="Arial"/>
                <w:sz w:val="22"/>
                <w:szCs w:val="22"/>
              </w:rPr>
            </w:pPr>
            <w:r w:rsidRPr="000C0795">
              <w:rPr>
                <w:rFonts w:cs="Arial"/>
                <w:sz w:val="22"/>
                <w:szCs w:val="22"/>
              </w:rPr>
              <w:t>38.4</w:t>
            </w:r>
          </w:p>
        </w:tc>
        <w:tc>
          <w:tcPr>
            <w:tcW w:w="0" w:type="auto"/>
            <w:vAlign w:val="center"/>
          </w:tcPr>
          <w:p w:rsidR="00F53647" w:rsidRPr="000C0795" w:rsidRDefault="00F53647" w:rsidP="000C0795">
            <w:pPr>
              <w:tabs>
                <w:tab w:val="left" w:pos="567"/>
                <w:tab w:val="left" w:pos="1134"/>
              </w:tabs>
              <w:spacing w:after="0"/>
              <w:jc w:val="center"/>
              <w:rPr>
                <w:rFonts w:cs="Arial"/>
                <w:sz w:val="22"/>
                <w:szCs w:val="22"/>
              </w:rPr>
            </w:pPr>
            <w:r w:rsidRPr="000C0795">
              <w:rPr>
                <w:rFonts w:cs="Arial"/>
                <w:sz w:val="22"/>
                <w:szCs w:val="22"/>
              </w:rPr>
              <w:t>12.7</w:t>
            </w:r>
          </w:p>
        </w:tc>
        <w:tc>
          <w:tcPr>
            <w:tcW w:w="0" w:type="auto"/>
            <w:vAlign w:val="center"/>
          </w:tcPr>
          <w:p w:rsidR="00F53647" w:rsidRPr="000C0795" w:rsidRDefault="00F53647" w:rsidP="000C0795">
            <w:pPr>
              <w:tabs>
                <w:tab w:val="left" w:pos="567"/>
                <w:tab w:val="left" w:pos="1134"/>
              </w:tabs>
              <w:spacing w:after="0"/>
              <w:jc w:val="center"/>
              <w:rPr>
                <w:rFonts w:cs="Arial"/>
                <w:sz w:val="22"/>
                <w:szCs w:val="22"/>
              </w:rPr>
            </w:pPr>
            <w:r w:rsidRPr="000C0795">
              <w:rPr>
                <w:rFonts w:cs="Arial"/>
                <w:sz w:val="22"/>
                <w:szCs w:val="22"/>
              </w:rPr>
              <w:t>13.9</w:t>
            </w:r>
          </w:p>
        </w:tc>
        <w:tc>
          <w:tcPr>
            <w:tcW w:w="0" w:type="auto"/>
            <w:vAlign w:val="center"/>
          </w:tcPr>
          <w:p w:rsidR="00F53647" w:rsidRPr="000C0795" w:rsidRDefault="00F53647" w:rsidP="000C0795">
            <w:pPr>
              <w:tabs>
                <w:tab w:val="left" w:pos="567"/>
                <w:tab w:val="left" w:pos="1134"/>
              </w:tabs>
              <w:spacing w:after="0"/>
              <w:jc w:val="center"/>
              <w:rPr>
                <w:rFonts w:cs="Arial"/>
                <w:sz w:val="22"/>
                <w:szCs w:val="22"/>
              </w:rPr>
            </w:pPr>
            <w:r w:rsidRPr="000C0795">
              <w:rPr>
                <w:rFonts w:cs="Arial"/>
                <w:sz w:val="22"/>
                <w:szCs w:val="22"/>
              </w:rPr>
              <w:t>15.0</w:t>
            </w:r>
          </w:p>
        </w:tc>
        <w:tc>
          <w:tcPr>
            <w:tcW w:w="0" w:type="auto"/>
            <w:vAlign w:val="center"/>
          </w:tcPr>
          <w:p w:rsidR="00F53647" w:rsidRPr="000C0795" w:rsidRDefault="00F53647" w:rsidP="000C0795">
            <w:pPr>
              <w:tabs>
                <w:tab w:val="left" w:pos="567"/>
                <w:tab w:val="left" w:pos="1134"/>
              </w:tabs>
              <w:spacing w:after="0"/>
              <w:jc w:val="center"/>
              <w:rPr>
                <w:rFonts w:cs="Arial"/>
                <w:sz w:val="22"/>
                <w:szCs w:val="22"/>
              </w:rPr>
            </w:pPr>
            <w:r w:rsidRPr="000C0795">
              <w:rPr>
                <w:rFonts w:cs="Arial"/>
                <w:sz w:val="22"/>
                <w:szCs w:val="22"/>
              </w:rPr>
              <w:t>17.4</w:t>
            </w:r>
          </w:p>
        </w:tc>
        <w:tc>
          <w:tcPr>
            <w:tcW w:w="983" w:type="dxa"/>
            <w:vAlign w:val="center"/>
          </w:tcPr>
          <w:p w:rsidR="00F53647" w:rsidRPr="00B86F4F" w:rsidRDefault="00F53647" w:rsidP="000C0795">
            <w:pPr>
              <w:tabs>
                <w:tab w:val="left" w:pos="567"/>
                <w:tab w:val="left" w:pos="1134"/>
              </w:tabs>
              <w:spacing w:after="0"/>
              <w:jc w:val="center"/>
              <w:rPr>
                <w:rFonts w:cs="Arial"/>
                <w:b/>
                <w:sz w:val="22"/>
                <w:szCs w:val="22"/>
              </w:rPr>
            </w:pPr>
            <w:r w:rsidRPr="00B86F4F">
              <w:rPr>
                <w:rFonts w:cs="Arial"/>
                <w:b/>
                <w:sz w:val="22"/>
                <w:szCs w:val="22"/>
              </w:rPr>
              <w:t>97.4</w:t>
            </w:r>
          </w:p>
        </w:tc>
      </w:tr>
    </w:tbl>
    <w:p w:rsidR="00F53647" w:rsidRDefault="00F53647" w:rsidP="00F53647">
      <w:pPr>
        <w:tabs>
          <w:tab w:val="left" w:pos="567"/>
          <w:tab w:val="left" w:pos="1134"/>
        </w:tabs>
        <w:spacing w:after="0"/>
        <w:rPr>
          <w:rFonts w:cs="Arial"/>
        </w:rPr>
      </w:pPr>
    </w:p>
    <w:p w:rsidR="00F53647" w:rsidRDefault="00F53647" w:rsidP="000C0795">
      <w:pPr>
        <w:spacing w:after="0"/>
        <w:rPr>
          <w:rFonts w:cs="Arial"/>
        </w:rPr>
      </w:pPr>
      <w:r>
        <w:rPr>
          <w:rFonts w:cs="Arial"/>
        </w:rPr>
        <w:t xml:space="preserve">In total, </w:t>
      </w:r>
      <w:r w:rsidR="009A71EE">
        <w:rPr>
          <w:rFonts w:cs="Arial"/>
        </w:rPr>
        <w:t>A</w:t>
      </w:r>
      <w:r w:rsidRPr="002E3569">
        <w:rPr>
          <w:rFonts w:cs="Arial"/>
        </w:rPr>
        <w:t xml:space="preserve">dult </w:t>
      </w:r>
      <w:r w:rsidR="009A71EE">
        <w:rPr>
          <w:rFonts w:cs="Arial"/>
        </w:rPr>
        <w:t>S</w:t>
      </w:r>
      <w:r w:rsidRPr="002E3569">
        <w:rPr>
          <w:rFonts w:cs="Arial"/>
        </w:rPr>
        <w:t xml:space="preserve">ocial </w:t>
      </w:r>
      <w:r w:rsidR="009A71EE">
        <w:rPr>
          <w:rFonts w:cs="Arial"/>
        </w:rPr>
        <w:t>C</w:t>
      </w:r>
      <w:r w:rsidRPr="002E3569">
        <w:rPr>
          <w:rFonts w:cs="Arial"/>
        </w:rPr>
        <w:t>are represents approximately 70% of the demand</w:t>
      </w:r>
      <w:r>
        <w:rPr>
          <w:rFonts w:cs="Arial"/>
          <w:b/>
        </w:rPr>
        <w:t xml:space="preserve"> </w:t>
      </w:r>
      <w:r w:rsidRPr="002E3569">
        <w:rPr>
          <w:rFonts w:cs="Arial"/>
        </w:rPr>
        <w:t>pressures.</w:t>
      </w:r>
      <w:r>
        <w:rPr>
          <w:rFonts w:cs="Arial"/>
          <w:b/>
        </w:rPr>
        <w:t xml:space="preserve">  </w:t>
      </w:r>
      <w:r>
        <w:rPr>
          <w:rFonts w:cs="Arial"/>
        </w:rPr>
        <w:t xml:space="preserve">Adult </w:t>
      </w:r>
      <w:r w:rsidR="009A71EE">
        <w:rPr>
          <w:rFonts w:cs="Arial"/>
        </w:rPr>
        <w:t>S</w:t>
      </w:r>
      <w:r>
        <w:rPr>
          <w:rFonts w:cs="Arial"/>
        </w:rPr>
        <w:t xml:space="preserve">ocial </w:t>
      </w:r>
      <w:r w:rsidR="009A71EE">
        <w:rPr>
          <w:rFonts w:cs="Arial"/>
        </w:rPr>
        <w:t>C</w:t>
      </w:r>
      <w:r>
        <w:rPr>
          <w:rFonts w:cs="Arial"/>
        </w:rPr>
        <w:t xml:space="preserve">are has long seen annual </w:t>
      </w:r>
      <w:r w:rsidRPr="00C10282">
        <w:rPr>
          <w:rFonts w:cs="Arial"/>
        </w:rPr>
        <w:t>increase</w:t>
      </w:r>
      <w:r>
        <w:rPr>
          <w:rFonts w:cs="Arial"/>
        </w:rPr>
        <w:t>s</w:t>
      </w:r>
      <w:r w:rsidRPr="00C10282">
        <w:rPr>
          <w:rFonts w:cs="Arial"/>
        </w:rPr>
        <w:t xml:space="preserve"> in</w:t>
      </w:r>
      <w:r>
        <w:rPr>
          <w:rFonts w:cs="Arial"/>
        </w:rPr>
        <w:t xml:space="preserve"> the demand for services and the MTFS attempts to predict growth in future years largely based on past activity trends but also taking into account future population changes.</w:t>
      </w:r>
    </w:p>
    <w:p w:rsidR="00F53647" w:rsidRDefault="00F53647" w:rsidP="000C0795">
      <w:pPr>
        <w:spacing w:after="0"/>
        <w:rPr>
          <w:rFonts w:cs="Arial"/>
        </w:rPr>
      </w:pPr>
    </w:p>
    <w:p w:rsidR="00F53647" w:rsidRDefault="00F53647" w:rsidP="000C0795">
      <w:pPr>
        <w:rPr>
          <w:rFonts w:cs="Arial"/>
        </w:rPr>
      </w:pPr>
      <w:r>
        <w:rPr>
          <w:rFonts w:cs="Arial"/>
        </w:rPr>
        <w:t>In deriving the estimated cost of demand the following projections have been used:</w:t>
      </w:r>
    </w:p>
    <w:p w:rsidR="00F53647" w:rsidRDefault="00F53647" w:rsidP="000C0795">
      <w:pPr>
        <w:pStyle w:val="ListParagraph"/>
        <w:numPr>
          <w:ilvl w:val="0"/>
          <w:numId w:val="31"/>
        </w:numPr>
        <w:ind w:left="426" w:hanging="437"/>
        <w:rPr>
          <w:rFonts w:cs="Arial"/>
        </w:rPr>
      </w:pPr>
      <w:r w:rsidRPr="000B1C91">
        <w:rPr>
          <w:rFonts w:cs="Arial"/>
        </w:rPr>
        <w:t>Older People – population projections from the ONS for the aged over 85 population</w:t>
      </w:r>
      <w:r>
        <w:rPr>
          <w:rFonts w:cs="Arial"/>
        </w:rPr>
        <w:t>.</w:t>
      </w:r>
    </w:p>
    <w:p w:rsidR="00F53647" w:rsidRPr="000B1C91" w:rsidRDefault="00F53647" w:rsidP="00F53647">
      <w:pPr>
        <w:pStyle w:val="ListParagraph"/>
        <w:ind w:left="426"/>
        <w:rPr>
          <w:rFonts w:cs="Arial"/>
        </w:rPr>
      </w:pPr>
    </w:p>
    <w:tbl>
      <w:tblPr>
        <w:tblW w:w="9016" w:type="dxa"/>
        <w:jc w:val="center"/>
        <w:tblLayout w:type="fixed"/>
        <w:tblLook w:val="04A0" w:firstRow="1" w:lastRow="0" w:firstColumn="1" w:lastColumn="0" w:noHBand="0" w:noVBand="1"/>
      </w:tblPr>
      <w:tblGrid>
        <w:gridCol w:w="2405"/>
        <w:gridCol w:w="1322"/>
        <w:gridCol w:w="1322"/>
        <w:gridCol w:w="1322"/>
        <w:gridCol w:w="1322"/>
        <w:gridCol w:w="1323"/>
      </w:tblGrid>
      <w:tr w:rsidR="00DA3850" w:rsidRPr="000C0795" w:rsidTr="00DA3850">
        <w:trPr>
          <w:trHeight w:val="403"/>
          <w:jc w:val="center"/>
        </w:trPr>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850" w:rsidRPr="000C0795" w:rsidRDefault="00DA3850" w:rsidP="005B6A8A">
            <w:pPr>
              <w:spacing w:after="0"/>
              <w:jc w:val="center"/>
              <w:rPr>
                <w:rFonts w:eastAsia="Times New Roman" w:cs="Arial"/>
                <w:b/>
                <w:sz w:val="22"/>
                <w:szCs w:val="22"/>
                <w:lang w:eastAsia="en-GB"/>
              </w:rPr>
            </w:pPr>
          </w:p>
        </w:tc>
        <w:tc>
          <w:tcPr>
            <w:tcW w:w="1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A3850" w:rsidRPr="000C0795" w:rsidRDefault="00DA3850" w:rsidP="005B6A8A">
            <w:pPr>
              <w:spacing w:after="0"/>
              <w:jc w:val="center"/>
              <w:rPr>
                <w:rFonts w:eastAsia="Times New Roman" w:cs="Arial"/>
                <w:b/>
                <w:sz w:val="22"/>
                <w:szCs w:val="22"/>
                <w:lang w:eastAsia="en-GB"/>
              </w:rPr>
            </w:pPr>
            <w:r w:rsidRPr="000C0795">
              <w:rPr>
                <w:rFonts w:eastAsia="Times New Roman" w:cs="Arial"/>
                <w:b/>
                <w:sz w:val="22"/>
                <w:szCs w:val="22"/>
                <w:lang w:eastAsia="en-GB"/>
              </w:rPr>
              <w:t>2016/17</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3850" w:rsidRPr="000C0795" w:rsidRDefault="00DA3850" w:rsidP="005B6A8A">
            <w:pPr>
              <w:spacing w:after="0"/>
              <w:jc w:val="center"/>
              <w:rPr>
                <w:rFonts w:eastAsia="Times New Roman" w:cs="Arial"/>
                <w:b/>
                <w:sz w:val="22"/>
                <w:szCs w:val="22"/>
                <w:lang w:eastAsia="en-GB"/>
              </w:rPr>
            </w:pPr>
            <w:r w:rsidRPr="000C0795">
              <w:rPr>
                <w:rFonts w:eastAsia="Times New Roman" w:cs="Arial"/>
                <w:b/>
                <w:sz w:val="22"/>
                <w:szCs w:val="22"/>
                <w:lang w:eastAsia="en-GB"/>
              </w:rPr>
              <w:t>2017/18</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3850" w:rsidRPr="000C0795" w:rsidRDefault="00DA3850" w:rsidP="005B6A8A">
            <w:pPr>
              <w:spacing w:after="0"/>
              <w:jc w:val="center"/>
              <w:rPr>
                <w:rFonts w:eastAsia="Times New Roman" w:cs="Arial"/>
                <w:b/>
                <w:sz w:val="22"/>
                <w:szCs w:val="22"/>
                <w:lang w:eastAsia="en-GB"/>
              </w:rPr>
            </w:pPr>
            <w:r w:rsidRPr="000C0795">
              <w:rPr>
                <w:rFonts w:eastAsia="Times New Roman" w:cs="Arial"/>
                <w:b/>
                <w:sz w:val="22"/>
                <w:szCs w:val="22"/>
                <w:lang w:eastAsia="en-GB"/>
              </w:rPr>
              <w:t>2018/19</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3850" w:rsidRPr="000C0795" w:rsidRDefault="00DA3850" w:rsidP="005B6A8A">
            <w:pPr>
              <w:spacing w:after="0"/>
              <w:jc w:val="center"/>
              <w:rPr>
                <w:rFonts w:eastAsia="Times New Roman" w:cs="Arial"/>
                <w:b/>
                <w:sz w:val="22"/>
                <w:szCs w:val="22"/>
                <w:lang w:eastAsia="en-GB"/>
              </w:rPr>
            </w:pPr>
            <w:r w:rsidRPr="000C0795">
              <w:rPr>
                <w:rFonts w:eastAsia="Times New Roman" w:cs="Arial"/>
                <w:b/>
                <w:sz w:val="22"/>
                <w:szCs w:val="22"/>
                <w:lang w:eastAsia="en-GB"/>
              </w:rPr>
              <w:t>2019/20</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A3850" w:rsidRPr="000C0795" w:rsidRDefault="00DA3850" w:rsidP="005B6A8A">
            <w:pPr>
              <w:spacing w:after="0"/>
              <w:jc w:val="center"/>
              <w:rPr>
                <w:rFonts w:eastAsia="Times New Roman" w:cs="Arial"/>
                <w:b/>
                <w:sz w:val="22"/>
                <w:szCs w:val="22"/>
                <w:lang w:eastAsia="en-GB"/>
              </w:rPr>
            </w:pPr>
            <w:r w:rsidRPr="000C0795">
              <w:rPr>
                <w:rFonts w:eastAsia="Times New Roman" w:cs="Arial"/>
                <w:b/>
                <w:sz w:val="22"/>
                <w:szCs w:val="22"/>
                <w:lang w:eastAsia="en-GB"/>
              </w:rPr>
              <w:t>2020/21</w:t>
            </w:r>
          </w:p>
        </w:tc>
      </w:tr>
      <w:tr w:rsidR="00DA3850" w:rsidRPr="000C0795" w:rsidTr="00DA3850">
        <w:trPr>
          <w:trHeight w:val="532"/>
          <w:jc w:val="center"/>
        </w:trPr>
        <w:tc>
          <w:tcPr>
            <w:tcW w:w="2405" w:type="dxa"/>
            <w:tcBorders>
              <w:top w:val="nil"/>
              <w:left w:val="single" w:sz="4" w:space="0" w:color="auto"/>
              <w:bottom w:val="single" w:sz="4" w:space="0" w:color="auto"/>
              <w:right w:val="single" w:sz="4" w:space="0" w:color="auto"/>
            </w:tcBorders>
          </w:tcPr>
          <w:p w:rsidR="00DA3850" w:rsidRPr="000C0795" w:rsidRDefault="00DA3850" w:rsidP="000A4469">
            <w:pPr>
              <w:spacing w:after="0"/>
              <w:jc w:val="left"/>
              <w:rPr>
                <w:rFonts w:eastAsia="Times New Roman" w:cs="Arial"/>
                <w:sz w:val="22"/>
                <w:szCs w:val="22"/>
                <w:lang w:eastAsia="en-GB"/>
              </w:rPr>
            </w:pPr>
            <w:r>
              <w:rPr>
                <w:rFonts w:eastAsia="Times New Roman" w:cs="Arial"/>
                <w:sz w:val="22"/>
                <w:szCs w:val="22"/>
                <w:lang w:eastAsia="en-GB"/>
              </w:rPr>
              <w:t>Total Older People Population Projection Growth</w:t>
            </w:r>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DA3850" w:rsidRPr="000C0795" w:rsidRDefault="00DA3850" w:rsidP="005B6A8A">
            <w:pPr>
              <w:spacing w:after="0"/>
              <w:jc w:val="center"/>
              <w:rPr>
                <w:rFonts w:eastAsia="Times New Roman" w:cs="Arial"/>
                <w:sz w:val="22"/>
                <w:szCs w:val="22"/>
                <w:lang w:eastAsia="en-GB"/>
              </w:rPr>
            </w:pPr>
            <w:r w:rsidRPr="000C0795">
              <w:rPr>
                <w:rFonts w:eastAsia="Times New Roman" w:cs="Arial"/>
                <w:sz w:val="22"/>
                <w:szCs w:val="22"/>
                <w:lang w:eastAsia="en-GB"/>
              </w:rPr>
              <w:t>2.86%</w:t>
            </w:r>
          </w:p>
        </w:tc>
        <w:tc>
          <w:tcPr>
            <w:tcW w:w="1322" w:type="dxa"/>
            <w:tcBorders>
              <w:top w:val="nil"/>
              <w:left w:val="nil"/>
              <w:bottom w:val="single" w:sz="4" w:space="0" w:color="auto"/>
              <w:right w:val="single" w:sz="4" w:space="0" w:color="auto"/>
            </w:tcBorders>
            <w:shd w:val="clear" w:color="auto" w:fill="auto"/>
            <w:noWrap/>
            <w:vAlign w:val="center"/>
            <w:hideMark/>
          </w:tcPr>
          <w:p w:rsidR="00DA3850" w:rsidRPr="000C0795" w:rsidRDefault="00DA3850" w:rsidP="005B6A8A">
            <w:pPr>
              <w:spacing w:after="0"/>
              <w:jc w:val="center"/>
              <w:rPr>
                <w:rFonts w:eastAsia="Times New Roman" w:cs="Arial"/>
                <w:sz w:val="22"/>
                <w:szCs w:val="22"/>
                <w:lang w:eastAsia="en-GB"/>
              </w:rPr>
            </w:pPr>
            <w:r w:rsidRPr="000C0795">
              <w:rPr>
                <w:rFonts w:eastAsia="Times New Roman" w:cs="Arial"/>
                <w:sz w:val="22"/>
                <w:szCs w:val="22"/>
                <w:lang w:eastAsia="en-GB"/>
              </w:rPr>
              <w:t>2.78%</w:t>
            </w:r>
          </w:p>
        </w:tc>
        <w:tc>
          <w:tcPr>
            <w:tcW w:w="1322" w:type="dxa"/>
            <w:tcBorders>
              <w:top w:val="nil"/>
              <w:left w:val="nil"/>
              <w:bottom w:val="single" w:sz="4" w:space="0" w:color="auto"/>
              <w:right w:val="single" w:sz="4" w:space="0" w:color="auto"/>
            </w:tcBorders>
            <w:shd w:val="clear" w:color="auto" w:fill="auto"/>
            <w:noWrap/>
            <w:vAlign w:val="center"/>
            <w:hideMark/>
          </w:tcPr>
          <w:p w:rsidR="00DA3850" w:rsidRPr="000C0795" w:rsidRDefault="00DA3850" w:rsidP="005B6A8A">
            <w:pPr>
              <w:spacing w:after="0"/>
              <w:jc w:val="center"/>
              <w:rPr>
                <w:rFonts w:eastAsia="Times New Roman" w:cs="Arial"/>
                <w:sz w:val="22"/>
                <w:szCs w:val="22"/>
                <w:lang w:eastAsia="en-GB"/>
              </w:rPr>
            </w:pPr>
            <w:r w:rsidRPr="000C0795">
              <w:rPr>
                <w:rFonts w:eastAsia="Times New Roman" w:cs="Arial"/>
                <w:sz w:val="22"/>
                <w:szCs w:val="22"/>
                <w:lang w:eastAsia="en-GB"/>
              </w:rPr>
              <w:t>3.30%</w:t>
            </w:r>
          </w:p>
        </w:tc>
        <w:tc>
          <w:tcPr>
            <w:tcW w:w="1322" w:type="dxa"/>
            <w:tcBorders>
              <w:top w:val="nil"/>
              <w:left w:val="nil"/>
              <w:bottom w:val="single" w:sz="4" w:space="0" w:color="auto"/>
              <w:right w:val="single" w:sz="4" w:space="0" w:color="auto"/>
            </w:tcBorders>
            <w:shd w:val="clear" w:color="auto" w:fill="auto"/>
            <w:noWrap/>
            <w:vAlign w:val="center"/>
            <w:hideMark/>
          </w:tcPr>
          <w:p w:rsidR="00DA3850" w:rsidRPr="000C0795" w:rsidRDefault="00DA3850" w:rsidP="005B6A8A">
            <w:pPr>
              <w:spacing w:after="0"/>
              <w:jc w:val="center"/>
              <w:rPr>
                <w:rFonts w:eastAsia="Times New Roman" w:cs="Arial"/>
                <w:sz w:val="22"/>
                <w:szCs w:val="22"/>
                <w:lang w:eastAsia="en-GB"/>
              </w:rPr>
            </w:pPr>
            <w:r w:rsidRPr="000C0795">
              <w:rPr>
                <w:rFonts w:eastAsia="Times New Roman" w:cs="Arial"/>
                <w:sz w:val="22"/>
                <w:szCs w:val="22"/>
                <w:lang w:eastAsia="en-GB"/>
              </w:rPr>
              <w:t>3.49%</w:t>
            </w:r>
          </w:p>
        </w:tc>
        <w:tc>
          <w:tcPr>
            <w:tcW w:w="1323" w:type="dxa"/>
            <w:tcBorders>
              <w:top w:val="nil"/>
              <w:left w:val="nil"/>
              <w:bottom w:val="single" w:sz="4" w:space="0" w:color="auto"/>
              <w:right w:val="single" w:sz="4" w:space="0" w:color="auto"/>
            </w:tcBorders>
            <w:shd w:val="clear" w:color="auto" w:fill="auto"/>
            <w:noWrap/>
            <w:vAlign w:val="center"/>
            <w:hideMark/>
          </w:tcPr>
          <w:p w:rsidR="00DA3850" w:rsidRPr="000C0795" w:rsidRDefault="00DA3850" w:rsidP="005B6A8A">
            <w:pPr>
              <w:spacing w:after="0"/>
              <w:jc w:val="center"/>
              <w:rPr>
                <w:rFonts w:eastAsia="Times New Roman" w:cs="Arial"/>
                <w:sz w:val="22"/>
                <w:szCs w:val="22"/>
                <w:lang w:eastAsia="en-GB"/>
              </w:rPr>
            </w:pPr>
            <w:r w:rsidRPr="000C0795">
              <w:rPr>
                <w:rFonts w:eastAsia="Times New Roman" w:cs="Arial"/>
                <w:sz w:val="22"/>
                <w:szCs w:val="22"/>
                <w:lang w:eastAsia="en-GB"/>
              </w:rPr>
              <w:t>4.21%</w:t>
            </w:r>
          </w:p>
        </w:tc>
      </w:tr>
    </w:tbl>
    <w:p w:rsidR="00F53647" w:rsidRDefault="00F53647" w:rsidP="00F53647">
      <w:pPr>
        <w:rPr>
          <w:rFonts w:cs="Arial"/>
        </w:rPr>
      </w:pPr>
    </w:p>
    <w:p w:rsidR="00F53647" w:rsidRDefault="00F53647" w:rsidP="00F53647">
      <w:pPr>
        <w:pStyle w:val="ListParagraph"/>
        <w:numPr>
          <w:ilvl w:val="0"/>
          <w:numId w:val="31"/>
        </w:numPr>
        <w:ind w:left="426" w:hanging="426"/>
        <w:rPr>
          <w:rFonts w:cs="Arial"/>
        </w:rPr>
      </w:pPr>
      <w:r w:rsidRPr="000B1C91">
        <w:rPr>
          <w:rFonts w:cs="Arial"/>
        </w:rPr>
        <w:t xml:space="preserve">Physical Disability services continue to see increases in the demand for </w:t>
      </w:r>
      <w:r>
        <w:rPr>
          <w:rFonts w:cs="Arial"/>
        </w:rPr>
        <w:t>d</w:t>
      </w:r>
      <w:r w:rsidRPr="000B1C91">
        <w:rPr>
          <w:rFonts w:cs="Arial"/>
        </w:rPr>
        <w:t xml:space="preserve">irect </w:t>
      </w:r>
      <w:r>
        <w:rPr>
          <w:rFonts w:cs="Arial"/>
        </w:rPr>
        <w:t>p</w:t>
      </w:r>
      <w:r w:rsidRPr="000B1C91">
        <w:rPr>
          <w:rFonts w:cs="Arial"/>
        </w:rPr>
        <w:t>ayment</w:t>
      </w:r>
      <w:r>
        <w:rPr>
          <w:rFonts w:cs="Arial"/>
        </w:rPr>
        <w:t>s</w:t>
      </w:r>
      <w:r w:rsidRPr="000B1C91">
        <w:rPr>
          <w:rFonts w:cs="Arial"/>
        </w:rPr>
        <w:t xml:space="preserve">, where service users receive a cash payment from the </w:t>
      </w:r>
      <w:r>
        <w:rPr>
          <w:rFonts w:cs="Arial"/>
        </w:rPr>
        <w:t xml:space="preserve">County </w:t>
      </w:r>
      <w:r w:rsidRPr="000B1C91">
        <w:rPr>
          <w:rFonts w:cs="Arial"/>
        </w:rPr>
        <w:t xml:space="preserve">Council for individuals to arrange their own care in place of the </w:t>
      </w:r>
      <w:r>
        <w:rPr>
          <w:rFonts w:cs="Arial"/>
        </w:rPr>
        <w:t xml:space="preserve">County </w:t>
      </w:r>
      <w:r w:rsidRPr="000B1C91">
        <w:rPr>
          <w:rFonts w:cs="Arial"/>
        </w:rPr>
        <w:t>Council commissioning services on their behalf.</w:t>
      </w:r>
      <w:r w:rsidRPr="00BB23DE">
        <w:rPr>
          <w:rFonts w:cs="Arial"/>
        </w:rPr>
        <w:t xml:space="preserve"> The average annual growth in </w:t>
      </w:r>
      <w:r>
        <w:rPr>
          <w:rFonts w:cs="Arial"/>
        </w:rPr>
        <w:t>Direct Payments for those with physical d</w:t>
      </w:r>
      <w:r w:rsidRPr="00BB23DE">
        <w:rPr>
          <w:rFonts w:cs="Arial"/>
        </w:rPr>
        <w:t>isabilities over the last 3 years has been 5.5%. As such, an annual increase of this amount has been included in the forecast.</w:t>
      </w:r>
    </w:p>
    <w:p w:rsidR="00F53647" w:rsidRPr="00BB23DE" w:rsidRDefault="00F53647" w:rsidP="00F53647">
      <w:pPr>
        <w:pStyle w:val="ListParagraph"/>
        <w:rPr>
          <w:rFonts w:cs="Arial"/>
        </w:rPr>
      </w:pPr>
    </w:p>
    <w:p w:rsidR="00F53647" w:rsidRDefault="00F53647" w:rsidP="00F53647">
      <w:pPr>
        <w:pStyle w:val="ListParagraph"/>
        <w:numPr>
          <w:ilvl w:val="0"/>
          <w:numId w:val="31"/>
        </w:numPr>
        <w:ind w:left="426" w:hanging="426"/>
        <w:rPr>
          <w:rFonts w:cs="Arial"/>
        </w:rPr>
      </w:pPr>
      <w:r w:rsidRPr="00B72D38">
        <w:rPr>
          <w:rFonts w:cs="Arial"/>
        </w:rPr>
        <w:t xml:space="preserve">Learning Disability services has traditionally seen growth in service user numbers of around 3% per annum. The last reliable year of activity information shows a 3.7% increase in </w:t>
      </w:r>
      <w:r>
        <w:rPr>
          <w:rFonts w:cs="Arial"/>
        </w:rPr>
        <w:t xml:space="preserve">the number of people with community based support which </w:t>
      </w:r>
      <w:r w:rsidRPr="00B72D38">
        <w:rPr>
          <w:rFonts w:cs="Arial"/>
        </w:rPr>
        <w:t>make</w:t>
      </w:r>
      <w:r>
        <w:rPr>
          <w:rFonts w:cs="Arial"/>
        </w:rPr>
        <w:t>s</w:t>
      </w:r>
      <w:r w:rsidRPr="00B72D38">
        <w:rPr>
          <w:rFonts w:cs="Arial"/>
        </w:rPr>
        <w:t xml:space="preserve"> up the majority of </w:t>
      </w:r>
      <w:r>
        <w:rPr>
          <w:rFonts w:cs="Arial"/>
        </w:rPr>
        <w:t xml:space="preserve">current expenditure </w:t>
      </w:r>
      <w:r w:rsidRPr="00B72D38">
        <w:rPr>
          <w:rFonts w:cs="Arial"/>
        </w:rPr>
        <w:t xml:space="preserve">for those </w:t>
      </w:r>
      <w:r>
        <w:rPr>
          <w:rFonts w:cs="Arial"/>
        </w:rPr>
        <w:t>with learning d</w:t>
      </w:r>
      <w:r w:rsidRPr="00B72D38">
        <w:rPr>
          <w:rFonts w:cs="Arial"/>
        </w:rPr>
        <w:t xml:space="preserve">isabilities. As such </w:t>
      </w:r>
      <w:r w:rsidRPr="004961BB">
        <w:rPr>
          <w:rFonts w:cs="Arial"/>
        </w:rPr>
        <w:t xml:space="preserve">a 3.7% increase per annum has been included in the </w:t>
      </w:r>
      <w:r>
        <w:rPr>
          <w:rFonts w:cs="Arial"/>
        </w:rPr>
        <w:t>MTFS.</w:t>
      </w:r>
    </w:p>
    <w:p w:rsidR="00F53647" w:rsidRPr="00B57979" w:rsidRDefault="00F53647" w:rsidP="00F53647">
      <w:pPr>
        <w:pStyle w:val="ListParagraph"/>
        <w:rPr>
          <w:rFonts w:cs="Arial"/>
        </w:rPr>
      </w:pPr>
    </w:p>
    <w:p w:rsidR="00F53647" w:rsidRPr="00472F78" w:rsidRDefault="00F53647" w:rsidP="00F53647">
      <w:pPr>
        <w:pStyle w:val="ListParagraph"/>
        <w:numPr>
          <w:ilvl w:val="0"/>
          <w:numId w:val="31"/>
        </w:numPr>
        <w:ind w:left="426" w:hanging="426"/>
        <w:rPr>
          <w:rFonts w:cs="Arial"/>
        </w:rPr>
      </w:pPr>
      <w:r w:rsidRPr="00472F78">
        <w:rPr>
          <w:rFonts w:cs="Arial"/>
        </w:rPr>
        <w:lastRenderedPageBreak/>
        <w:t>For Mental Health services the average annual increase in service user numbers in the last 3 to 5 years has been used across Residential, Nursing, Home Care and Direct Payment services to project increased spending over the period.</w:t>
      </w:r>
    </w:p>
    <w:p w:rsidR="00F53647" w:rsidRPr="00472F78" w:rsidRDefault="00F53647" w:rsidP="00F53647">
      <w:pPr>
        <w:pStyle w:val="ListParagraph"/>
        <w:rPr>
          <w:rFonts w:cs="Arial"/>
        </w:rPr>
      </w:pPr>
    </w:p>
    <w:p w:rsidR="000C0795" w:rsidRPr="00472F78" w:rsidRDefault="00F53647" w:rsidP="000C0795">
      <w:pPr>
        <w:pStyle w:val="ListParagraph"/>
        <w:numPr>
          <w:ilvl w:val="0"/>
          <w:numId w:val="31"/>
        </w:numPr>
        <w:ind w:left="360"/>
        <w:rPr>
          <w:rFonts w:cs="Arial"/>
        </w:rPr>
      </w:pPr>
      <w:r w:rsidRPr="00472F78">
        <w:rPr>
          <w:rFonts w:cs="Arial"/>
        </w:rPr>
        <w:t>As the demand for services increase, so does the increase for formal social care assessment to identify whether an individual has eligible care needs which would entitle an individual to financial support from the County Council to meet their care needs. Population increases in the over 85 population has been used to project forward spending growth in relation to assessment and care management staff.</w:t>
      </w:r>
    </w:p>
    <w:p w:rsidR="000C0795" w:rsidRPr="00472F78" w:rsidRDefault="000C0795" w:rsidP="000C0795">
      <w:pPr>
        <w:pStyle w:val="ListParagraph"/>
        <w:ind w:left="360"/>
        <w:rPr>
          <w:rFonts w:cs="Arial"/>
        </w:rPr>
      </w:pPr>
    </w:p>
    <w:p w:rsidR="007F3C2F" w:rsidRPr="00472F78" w:rsidRDefault="007F3C2F" w:rsidP="00617AC0">
      <w:pPr>
        <w:pStyle w:val="ListParagraph"/>
        <w:numPr>
          <w:ilvl w:val="0"/>
          <w:numId w:val="31"/>
        </w:numPr>
        <w:spacing w:after="0"/>
        <w:ind w:left="360"/>
        <w:rPr>
          <w:rFonts w:cs="Arial"/>
        </w:rPr>
      </w:pPr>
      <w:r w:rsidRPr="00472F78">
        <w:rPr>
          <w:rFonts w:cs="Arial"/>
        </w:rPr>
        <w:t>The cost of children's social care demand is estimated to be £13.4m.  This covers the cost of population changes and the anticipated increase in the number of children in care. In addition</w:t>
      </w:r>
      <w:r w:rsidR="00BD7FC9" w:rsidRPr="00472F78">
        <w:rPr>
          <w:rFonts w:cs="Arial"/>
        </w:rPr>
        <w:t xml:space="preserve">, </w:t>
      </w:r>
      <w:r w:rsidRPr="00472F78">
        <w:rPr>
          <w:rFonts w:cs="Arial"/>
        </w:rPr>
        <w:t>£5m relates to</w:t>
      </w:r>
      <w:r w:rsidR="00BD7FC9" w:rsidRPr="00472F78">
        <w:rPr>
          <w:rFonts w:cs="Arial"/>
        </w:rPr>
        <w:t xml:space="preserve"> an</w:t>
      </w:r>
      <w:r w:rsidRPr="00472F78">
        <w:rPr>
          <w:rFonts w:cs="Arial"/>
        </w:rPr>
        <w:t xml:space="preserve"> initial estimate of the additional social worker capacity requirement reflecting additional demands and </w:t>
      </w:r>
      <w:r w:rsidR="00BD7FC9" w:rsidRPr="00472F78">
        <w:rPr>
          <w:rFonts w:cs="Arial"/>
        </w:rPr>
        <w:t xml:space="preserve">the </w:t>
      </w:r>
      <w:r w:rsidRPr="00472F78">
        <w:rPr>
          <w:rFonts w:cs="Arial"/>
        </w:rPr>
        <w:t>potential impact of the Ofsted inspection</w:t>
      </w:r>
      <w:r w:rsidR="00BD7FC9" w:rsidRPr="00472F78">
        <w:rPr>
          <w:rFonts w:cs="Arial"/>
        </w:rPr>
        <w:t>, already built into the MTFS.</w:t>
      </w:r>
    </w:p>
    <w:p w:rsidR="000C0795" w:rsidRPr="000C0795" w:rsidRDefault="000C0795" w:rsidP="00617AC0">
      <w:pPr>
        <w:spacing w:after="0"/>
        <w:rPr>
          <w:rFonts w:cs="Arial"/>
        </w:rPr>
      </w:pPr>
    </w:p>
    <w:p w:rsidR="00F53647" w:rsidRPr="00472F78" w:rsidRDefault="00F53647" w:rsidP="00617AC0">
      <w:pPr>
        <w:tabs>
          <w:tab w:val="left" w:pos="567"/>
          <w:tab w:val="left" w:pos="1134"/>
        </w:tabs>
        <w:spacing w:after="0"/>
        <w:rPr>
          <w:rFonts w:cs="Arial"/>
          <w:b/>
        </w:rPr>
      </w:pPr>
      <w:r w:rsidRPr="00472F78">
        <w:rPr>
          <w:rFonts w:cs="Arial"/>
          <w:b/>
        </w:rPr>
        <w:t>3.5 Loss of specific grant</w:t>
      </w:r>
    </w:p>
    <w:p w:rsidR="00F53647" w:rsidRPr="00472F78" w:rsidRDefault="00F53647" w:rsidP="00617AC0">
      <w:pPr>
        <w:tabs>
          <w:tab w:val="left" w:pos="567"/>
          <w:tab w:val="left" w:pos="1134"/>
        </w:tabs>
        <w:spacing w:after="0"/>
        <w:rPr>
          <w:rFonts w:cs="Arial"/>
          <w:b/>
        </w:rPr>
      </w:pPr>
    </w:p>
    <w:p w:rsidR="00F53647" w:rsidRPr="00472F78" w:rsidRDefault="00F53647" w:rsidP="00617AC0">
      <w:pPr>
        <w:tabs>
          <w:tab w:val="left" w:pos="567"/>
          <w:tab w:val="left" w:pos="1134"/>
        </w:tabs>
        <w:spacing w:after="0"/>
        <w:rPr>
          <w:rFonts w:cs="Arial"/>
        </w:rPr>
      </w:pPr>
      <w:r w:rsidRPr="00472F78">
        <w:rPr>
          <w:rFonts w:cs="Arial"/>
        </w:rPr>
        <w:t xml:space="preserve">The County Council receives various grants which are specific and form part of the net expenditure pressures rather than the general resources of the authority referred to in section 3 above. The County Council was subject to an in-year reduction to the Public Health Grant of £4.3m in 2015/16. </w:t>
      </w:r>
      <w:r w:rsidR="00326455" w:rsidRPr="00472F78">
        <w:rPr>
          <w:rFonts w:cs="Arial"/>
        </w:rPr>
        <w:t>I</w:t>
      </w:r>
      <w:r w:rsidRPr="00472F78">
        <w:rPr>
          <w:rFonts w:cs="Arial"/>
        </w:rPr>
        <w:t xml:space="preserve">t </w:t>
      </w:r>
      <w:r w:rsidR="00326455" w:rsidRPr="00472F78">
        <w:rPr>
          <w:rFonts w:cs="Arial"/>
        </w:rPr>
        <w:t>was</w:t>
      </w:r>
      <w:r w:rsidRPr="00472F78">
        <w:rPr>
          <w:rFonts w:cs="Arial"/>
        </w:rPr>
        <w:t xml:space="preserve"> anticipated that th</w:t>
      </w:r>
      <w:r w:rsidR="00326455" w:rsidRPr="00472F78">
        <w:rPr>
          <w:rFonts w:cs="Arial"/>
        </w:rPr>
        <w:t>is</w:t>
      </w:r>
      <w:r w:rsidRPr="00472F78">
        <w:rPr>
          <w:rFonts w:cs="Arial"/>
        </w:rPr>
        <w:t xml:space="preserve"> will be a continuing reduction</w:t>
      </w:r>
      <w:r w:rsidR="00326455" w:rsidRPr="00472F78">
        <w:rPr>
          <w:rFonts w:cs="Arial"/>
        </w:rPr>
        <w:t xml:space="preserve"> and was included in the November MTFS.</w:t>
      </w:r>
    </w:p>
    <w:p w:rsidR="000C0795" w:rsidRPr="00472F78" w:rsidRDefault="000C0795" w:rsidP="00617AC0">
      <w:pPr>
        <w:autoSpaceDE/>
        <w:autoSpaceDN/>
        <w:adjustRightInd/>
        <w:spacing w:after="0"/>
        <w:jc w:val="left"/>
        <w:rPr>
          <w:rFonts w:cs="Arial"/>
        </w:rPr>
      </w:pPr>
    </w:p>
    <w:p w:rsidR="00326455" w:rsidRPr="00472F78" w:rsidRDefault="00326455" w:rsidP="00617AC0">
      <w:pPr>
        <w:autoSpaceDE/>
        <w:autoSpaceDN/>
        <w:adjustRightInd/>
        <w:spacing w:after="0"/>
        <w:rPr>
          <w:rFonts w:cs="Arial"/>
        </w:rPr>
      </w:pPr>
      <w:r w:rsidRPr="00472F78">
        <w:rPr>
          <w:rFonts w:cs="Arial"/>
        </w:rPr>
        <w:t>As noted in section 2.3 the Care Act monies has now been included in the general finance settlement and therefore this represents a loss of specific income of £6.885m.</w:t>
      </w:r>
    </w:p>
    <w:p w:rsidR="00326455" w:rsidRPr="00472F78" w:rsidRDefault="00326455" w:rsidP="00617AC0">
      <w:pPr>
        <w:autoSpaceDE/>
        <w:autoSpaceDN/>
        <w:adjustRightInd/>
        <w:spacing w:after="0"/>
        <w:rPr>
          <w:rFonts w:cs="Arial"/>
        </w:rPr>
      </w:pPr>
    </w:p>
    <w:p w:rsidR="00326455" w:rsidRPr="00472F78" w:rsidRDefault="00326455" w:rsidP="00617AC0">
      <w:pPr>
        <w:tabs>
          <w:tab w:val="left" w:pos="567"/>
          <w:tab w:val="left" w:pos="1134"/>
        </w:tabs>
        <w:spacing w:after="0"/>
        <w:rPr>
          <w:rFonts w:cs="Arial"/>
          <w:b/>
        </w:rPr>
      </w:pPr>
      <w:r w:rsidRPr="00472F78">
        <w:rPr>
          <w:rFonts w:cs="Arial"/>
          <w:b/>
        </w:rPr>
        <w:t>3.6 Savings and Cabinet Decisions</w:t>
      </w:r>
    </w:p>
    <w:p w:rsidR="00326455" w:rsidRPr="00472F78" w:rsidRDefault="00326455" w:rsidP="00617AC0">
      <w:pPr>
        <w:tabs>
          <w:tab w:val="left" w:pos="567"/>
          <w:tab w:val="left" w:pos="1134"/>
        </w:tabs>
        <w:spacing w:after="0"/>
        <w:rPr>
          <w:rFonts w:cs="Arial"/>
          <w:b/>
        </w:rPr>
      </w:pPr>
    </w:p>
    <w:p w:rsidR="00326455" w:rsidRPr="00472F78" w:rsidRDefault="00326455" w:rsidP="00617AC0">
      <w:pPr>
        <w:tabs>
          <w:tab w:val="left" w:pos="567"/>
          <w:tab w:val="left" w:pos="1134"/>
        </w:tabs>
        <w:spacing w:after="0"/>
        <w:rPr>
          <w:rFonts w:cs="Arial"/>
          <w:b/>
        </w:rPr>
      </w:pPr>
      <w:r w:rsidRPr="00472F78">
        <w:rPr>
          <w:rFonts w:cs="Arial"/>
        </w:rPr>
        <w:t xml:space="preserve">The savings to be achieved are constantly under review. </w:t>
      </w:r>
      <w:r w:rsidR="00194D1E" w:rsidRPr="00472F78">
        <w:rPr>
          <w:rFonts w:cs="Arial"/>
        </w:rPr>
        <w:t>Previous MTFS report</w:t>
      </w:r>
      <w:r w:rsidR="00935FA0" w:rsidRPr="00472F78">
        <w:rPr>
          <w:rFonts w:cs="Arial"/>
        </w:rPr>
        <w:t>s</w:t>
      </w:r>
      <w:r w:rsidR="00194D1E" w:rsidRPr="00472F78">
        <w:rPr>
          <w:rFonts w:cs="Arial"/>
        </w:rPr>
        <w:t xml:space="preserve"> identified £48m of savings </w:t>
      </w:r>
      <w:r w:rsidR="00935FA0" w:rsidRPr="00472F78">
        <w:rPr>
          <w:rFonts w:cs="Arial"/>
        </w:rPr>
        <w:t xml:space="preserve">that were </w:t>
      </w:r>
      <w:r w:rsidR="00194D1E" w:rsidRPr="00472F78">
        <w:rPr>
          <w:rFonts w:cs="Arial"/>
        </w:rPr>
        <w:t xml:space="preserve">considered </w:t>
      </w:r>
      <w:r w:rsidR="00935FA0" w:rsidRPr="00472F78">
        <w:rPr>
          <w:rFonts w:cs="Arial"/>
        </w:rPr>
        <w:t xml:space="preserve">not </w:t>
      </w:r>
      <w:r w:rsidR="00194D1E" w:rsidRPr="00472F78">
        <w:rPr>
          <w:rFonts w:cs="Arial"/>
        </w:rPr>
        <w:t>achievable. This includes £2.4m identified in November. No further changes to prior year agreed savings have been identified.</w:t>
      </w:r>
    </w:p>
    <w:p w:rsidR="00326455" w:rsidRPr="00472F78" w:rsidRDefault="00326455" w:rsidP="00617AC0">
      <w:pPr>
        <w:tabs>
          <w:tab w:val="left" w:pos="567"/>
          <w:tab w:val="left" w:pos="1134"/>
        </w:tabs>
        <w:spacing w:after="0"/>
        <w:rPr>
          <w:rFonts w:cs="Arial"/>
          <w:b/>
        </w:rPr>
      </w:pPr>
    </w:p>
    <w:p w:rsidR="00757FB9" w:rsidRPr="00472F78" w:rsidRDefault="00194D1E" w:rsidP="00617AC0">
      <w:pPr>
        <w:autoSpaceDE/>
        <w:autoSpaceDN/>
        <w:adjustRightInd/>
        <w:spacing w:after="0"/>
        <w:rPr>
          <w:rFonts w:cs="Arial"/>
        </w:rPr>
      </w:pPr>
      <w:r w:rsidRPr="00472F78">
        <w:rPr>
          <w:rFonts w:cs="Arial"/>
        </w:rPr>
        <w:t>In November</w:t>
      </w:r>
      <w:r w:rsidR="00DA3850" w:rsidRPr="00472F78">
        <w:rPr>
          <w:rFonts w:cs="Arial"/>
        </w:rPr>
        <w:t>,</w:t>
      </w:r>
      <w:r w:rsidRPr="00472F78">
        <w:rPr>
          <w:rFonts w:cs="Arial"/>
        </w:rPr>
        <w:t xml:space="preserve"> </w:t>
      </w:r>
      <w:r w:rsidR="00326455" w:rsidRPr="00472F78">
        <w:rPr>
          <w:rFonts w:cs="Arial"/>
        </w:rPr>
        <w:t xml:space="preserve">Cabinet approved </w:t>
      </w:r>
      <w:r w:rsidR="00DA3850" w:rsidRPr="00472F78">
        <w:rPr>
          <w:rFonts w:cs="Arial"/>
        </w:rPr>
        <w:t xml:space="preserve">new </w:t>
      </w:r>
      <w:r w:rsidR="00326455" w:rsidRPr="00472F78">
        <w:rPr>
          <w:rFonts w:cs="Arial"/>
        </w:rPr>
        <w:t>budget reductions of £64.177</w:t>
      </w:r>
      <w:r w:rsidR="00DA3850" w:rsidRPr="00472F78">
        <w:rPr>
          <w:rFonts w:cs="Arial"/>
        </w:rPr>
        <w:t>m</w:t>
      </w:r>
      <w:r w:rsidR="00326455" w:rsidRPr="00472F78">
        <w:rPr>
          <w:rFonts w:cs="Arial"/>
        </w:rPr>
        <w:t xml:space="preserve"> in 2016/17 and £0.687m in 2017/18.  It was approved that officers were authorised to proceed with their implementation subject to consultation where appropriate, and that the 2016/17 budget be prepared based upon these revenue decisions be agreed, with the outcome of any consultations being reported</w:t>
      </w:r>
      <w:r w:rsidR="00935FA0" w:rsidRPr="00472F78">
        <w:rPr>
          <w:rFonts w:cs="Arial"/>
        </w:rPr>
        <w:t xml:space="preserve"> to Full Council.  The MTFS now </w:t>
      </w:r>
      <w:r w:rsidR="00326455" w:rsidRPr="00472F78">
        <w:rPr>
          <w:rFonts w:cs="Arial"/>
        </w:rPr>
        <w:t>incorporates these reductions</w:t>
      </w:r>
      <w:r w:rsidR="00757FB9" w:rsidRPr="00472F78">
        <w:rPr>
          <w:rFonts w:cs="Arial"/>
        </w:rPr>
        <w:t>.</w:t>
      </w:r>
    </w:p>
    <w:p w:rsidR="00194D1E" w:rsidRPr="00472F78" w:rsidRDefault="00194D1E" w:rsidP="00617AC0">
      <w:pPr>
        <w:autoSpaceDE/>
        <w:autoSpaceDN/>
        <w:adjustRightInd/>
        <w:spacing w:after="0"/>
        <w:jc w:val="left"/>
        <w:rPr>
          <w:rFonts w:cs="Arial"/>
        </w:rPr>
      </w:pPr>
    </w:p>
    <w:p w:rsidR="00947B62" w:rsidRPr="00472F78" w:rsidRDefault="00DB0194" w:rsidP="00617AC0">
      <w:pPr>
        <w:spacing w:after="0"/>
        <w:rPr>
          <w:rFonts w:cs="Arial"/>
          <w:b/>
        </w:rPr>
      </w:pPr>
      <w:r w:rsidRPr="00472F78">
        <w:rPr>
          <w:rFonts w:cs="Arial"/>
          <w:b/>
        </w:rPr>
        <w:t>3.</w:t>
      </w:r>
      <w:r w:rsidR="00194D1E" w:rsidRPr="00472F78">
        <w:rPr>
          <w:rFonts w:cs="Arial"/>
          <w:b/>
        </w:rPr>
        <w:t>7</w:t>
      </w:r>
      <w:r w:rsidRPr="00472F78">
        <w:rPr>
          <w:rFonts w:cs="Arial"/>
          <w:b/>
        </w:rPr>
        <w:t xml:space="preserve"> Capital Financing Requirements</w:t>
      </w:r>
      <w:r w:rsidR="00947B62" w:rsidRPr="00472F78">
        <w:rPr>
          <w:rFonts w:cs="Arial"/>
          <w:b/>
        </w:rPr>
        <w:t xml:space="preserve"> </w:t>
      </w:r>
    </w:p>
    <w:p w:rsidR="00947B62" w:rsidRPr="00472F78" w:rsidRDefault="00DB0194" w:rsidP="00617AC0">
      <w:pPr>
        <w:spacing w:after="0"/>
        <w:rPr>
          <w:rFonts w:cs="Arial"/>
          <w:b/>
        </w:rPr>
      </w:pPr>
      <w:r w:rsidRPr="00472F78">
        <w:rPr>
          <w:rFonts w:cs="Arial"/>
          <w:b/>
        </w:rPr>
        <w:t xml:space="preserve"> </w:t>
      </w:r>
    </w:p>
    <w:p w:rsidR="00DB0194" w:rsidRPr="00472F78" w:rsidRDefault="00DB0194" w:rsidP="00617AC0">
      <w:pPr>
        <w:spacing w:after="0"/>
        <w:rPr>
          <w:rFonts w:cs="Arial"/>
        </w:rPr>
      </w:pPr>
      <w:r w:rsidRPr="00472F78">
        <w:rPr>
          <w:rFonts w:cs="Arial"/>
        </w:rPr>
        <w:t>The budget options</w:t>
      </w:r>
      <w:r w:rsidR="00194D1E" w:rsidRPr="00472F78">
        <w:rPr>
          <w:rFonts w:cs="Arial"/>
        </w:rPr>
        <w:t xml:space="preserve"> </w:t>
      </w:r>
      <w:r w:rsidRPr="00472F78">
        <w:rPr>
          <w:rFonts w:cs="Arial"/>
        </w:rPr>
        <w:t>approved by Cabinet in November included a</w:t>
      </w:r>
      <w:r w:rsidR="00935FA0" w:rsidRPr="00472F78">
        <w:rPr>
          <w:rFonts w:cs="Arial"/>
        </w:rPr>
        <w:t xml:space="preserve"> reduction of £7m to reflect a</w:t>
      </w:r>
      <w:r w:rsidRPr="00472F78">
        <w:rPr>
          <w:rFonts w:cs="Arial"/>
        </w:rPr>
        <w:t xml:space="preserve"> </w:t>
      </w:r>
      <w:r w:rsidR="00935FA0" w:rsidRPr="00472F78">
        <w:rPr>
          <w:rFonts w:cs="Arial"/>
        </w:rPr>
        <w:t>proposed change in the</w:t>
      </w:r>
      <w:r w:rsidRPr="00472F78">
        <w:rPr>
          <w:rFonts w:cs="Arial"/>
        </w:rPr>
        <w:t xml:space="preserve"> policy of calculating the Minimum Revenue Provis</w:t>
      </w:r>
      <w:r w:rsidR="00935FA0" w:rsidRPr="00472F78">
        <w:rPr>
          <w:rFonts w:cs="Arial"/>
        </w:rPr>
        <w:t>ion (MRP)</w:t>
      </w:r>
      <w:r w:rsidRPr="00472F78">
        <w:rPr>
          <w:rFonts w:cs="Arial"/>
        </w:rPr>
        <w:t>. Further work has been undertaken on the capital financing requirement taking into consideration:</w:t>
      </w:r>
    </w:p>
    <w:p w:rsidR="00A31E85" w:rsidRPr="00472F78" w:rsidRDefault="00A31E85">
      <w:pPr>
        <w:autoSpaceDE/>
        <w:autoSpaceDN/>
        <w:adjustRightInd/>
        <w:spacing w:after="0"/>
        <w:jc w:val="left"/>
        <w:rPr>
          <w:rFonts w:cs="Arial"/>
        </w:rPr>
      </w:pPr>
      <w:r w:rsidRPr="00472F78">
        <w:rPr>
          <w:rFonts w:cs="Arial"/>
        </w:rPr>
        <w:br w:type="page"/>
      </w:r>
    </w:p>
    <w:p w:rsidR="00194D1E" w:rsidRPr="00472F78" w:rsidRDefault="00194D1E" w:rsidP="00617AC0">
      <w:pPr>
        <w:spacing w:after="0"/>
        <w:rPr>
          <w:rFonts w:cs="Arial"/>
        </w:rPr>
      </w:pPr>
    </w:p>
    <w:p w:rsidR="00DB0194" w:rsidRPr="00472F78" w:rsidRDefault="00DB0194" w:rsidP="00DA3850">
      <w:pPr>
        <w:pStyle w:val="ListParagraph"/>
        <w:numPr>
          <w:ilvl w:val="0"/>
          <w:numId w:val="47"/>
        </w:numPr>
        <w:spacing w:after="0"/>
        <w:ind w:left="360"/>
        <w:rPr>
          <w:rFonts w:cs="Arial"/>
        </w:rPr>
      </w:pPr>
      <w:r w:rsidRPr="00472F78">
        <w:rPr>
          <w:rFonts w:cs="Arial"/>
        </w:rPr>
        <w:t>potential implementation of the new MRP policy</w:t>
      </w:r>
      <w:r w:rsidR="00935FA0" w:rsidRPr="00472F78">
        <w:rPr>
          <w:rFonts w:cs="Arial"/>
        </w:rPr>
        <w:t>,</w:t>
      </w:r>
      <w:r w:rsidRPr="00472F78">
        <w:rPr>
          <w:rFonts w:cs="Arial"/>
        </w:rPr>
        <w:t xml:space="preserve"> </w:t>
      </w:r>
    </w:p>
    <w:p w:rsidR="00947B62" w:rsidRPr="00472F78" w:rsidRDefault="00DB0194" w:rsidP="00DA3850">
      <w:pPr>
        <w:pStyle w:val="ListParagraph"/>
        <w:numPr>
          <w:ilvl w:val="0"/>
          <w:numId w:val="47"/>
        </w:numPr>
        <w:spacing w:after="0"/>
        <w:ind w:left="360"/>
        <w:rPr>
          <w:rFonts w:cs="Arial"/>
          <w:b/>
        </w:rPr>
      </w:pPr>
      <w:r w:rsidRPr="00472F78">
        <w:rPr>
          <w:rFonts w:cs="Arial"/>
        </w:rPr>
        <w:t>the impact on the capital financing budget from a change in the timing of the estimated rise in interest rates provided by the authority's external Treasury Management advisors</w:t>
      </w:r>
      <w:r w:rsidR="00935FA0" w:rsidRPr="00472F78">
        <w:rPr>
          <w:rFonts w:cs="Arial"/>
        </w:rPr>
        <w:t>,</w:t>
      </w:r>
      <w:r w:rsidRPr="00472F78">
        <w:rPr>
          <w:rFonts w:cs="Arial"/>
        </w:rPr>
        <w:t xml:space="preserve"> </w:t>
      </w:r>
    </w:p>
    <w:p w:rsidR="00DB0194" w:rsidRPr="00472F78" w:rsidRDefault="00DB0194" w:rsidP="00DA3850">
      <w:pPr>
        <w:pStyle w:val="ListParagraph"/>
        <w:numPr>
          <w:ilvl w:val="0"/>
          <w:numId w:val="47"/>
        </w:numPr>
        <w:spacing w:after="0"/>
        <w:ind w:left="360"/>
        <w:rPr>
          <w:rFonts w:cs="Arial"/>
          <w:b/>
        </w:rPr>
      </w:pPr>
      <w:r w:rsidRPr="00472F78">
        <w:rPr>
          <w:rFonts w:cs="Arial"/>
        </w:rPr>
        <w:t>Cash-flow implications of the budget proposals and the use of reserves</w:t>
      </w:r>
      <w:r w:rsidR="00935FA0" w:rsidRPr="00472F78">
        <w:rPr>
          <w:rFonts w:cs="Arial"/>
        </w:rPr>
        <w:t>,</w:t>
      </w:r>
    </w:p>
    <w:p w:rsidR="00DB0194" w:rsidRPr="00472F78" w:rsidRDefault="00DB0194" w:rsidP="00DA3850">
      <w:pPr>
        <w:pStyle w:val="ListParagraph"/>
        <w:numPr>
          <w:ilvl w:val="0"/>
          <w:numId w:val="47"/>
        </w:numPr>
        <w:spacing w:after="0"/>
        <w:ind w:left="360"/>
        <w:rPr>
          <w:rFonts w:cs="Arial"/>
          <w:b/>
        </w:rPr>
      </w:pPr>
      <w:r w:rsidRPr="00472F78">
        <w:rPr>
          <w:rFonts w:cs="Arial"/>
        </w:rPr>
        <w:t>The latest estimates of the Capital Programme and the requirement to borrow</w:t>
      </w:r>
      <w:r w:rsidRPr="00472F78">
        <w:rPr>
          <w:rFonts w:cs="Arial"/>
          <w:b/>
        </w:rPr>
        <w:t>.</w:t>
      </w:r>
    </w:p>
    <w:p w:rsidR="00DB0194" w:rsidRPr="00472F78" w:rsidRDefault="00DB0194" w:rsidP="00617AC0">
      <w:pPr>
        <w:spacing w:after="0"/>
        <w:rPr>
          <w:rFonts w:cs="Arial"/>
          <w:b/>
        </w:rPr>
      </w:pPr>
    </w:p>
    <w:p w:rsidR="00DB0194" w:rsidRPr="00472F78" w:rsidRDefault="00064B2E" w:rsidP="00617AC0">
      <w:pPr>
        <w:spacing w:after="0"/>
        <w:rPr>
          <w:rFonts w:cs="Arial"/>
        </w:rPr>
      </w:pPr>
      <w:r w:rsidRPr="00472F78">
        <w:rPr>
          <w:rFonts w:cs="Arial"/>
        </w:rPr>
        <w:t>Given the latest estimates of interest rates, cash-flow and the Treasury Management Strategy regarding the taking of long term fixed debt it is estimated that there is a further reduction in the 2015/16 budget could be made. However, it is estimated that the costs will rise after this point. The impact on the MTFS is:</w:t>
      </w:r>
    </w:p>
    <w:p w:rsidR="00064B2E" w:rsidRPr="008D5D96" w:rsidRDefault="00064B2E" w:rsidP="00617AC0">
      <w:pPr>
        <w:spacing w:after="0"/>
        <w:rPr>
          <w:rFonts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064B2E" w:rsidRPr="000C0795" w:rsidTr="000C0795">
        <w:trPr>
          <w:trHeight w:val="749"/>
        </w:trPr>
        <w:tc>
          <w:tcPr>
            <w:tcW w:w="1803" w:type="dxa"/>
            <w:shd w:val="clear" w:color="auto" w:fill="BFBFBF" w:themeFill="background1" w:themeFillShade="BF"/>
            <w:vAlign w:val="center"/>
          </w:tcPr>
          <w:p w:rsidR="00064B2E" w:rsidRPr="000C0795" w:rsidRDefault="00064B2E" w:rsidP="000C0795">
            <w:pPr>
              <w:spacing w:after="0"/>
              <w:jc w:val="center"/>
              <w:rPr>
                <w:rFonts w:cs="Arial"/>
                <w:b/>
                <w:sz w:val="22"/>
                <w:szCs w:val="22"/>
              </w:rPr>
            </w:pPr>
          </w:p>
        </w:tc>
        <w:tc>
          <w:tcPr>
            <w:tcW w:w="1803" w:type="dxa"/>
            <w:shd w:val="clear" w:color="auto" w:fill="BFBFBF" w:themeFill="background1" w:themeFillShade="BF"/>
            <w:vAlign w:val="center"/>
          </w:tcPr>
          <w:p w:rsidR="00064B2E" w:rsidRDefault="00064B2E" w:rsidP="000C0795">
            <w:pPr>
              <w:spacing w:after="0"/>
              <w:jc w:val="center"/>
              <w:rPr>
                <w:rFonts w:cs="Arial"/>
                <w:b/>
                <w:sz w:val="22"/>
                <w:szCs w:val="22"/>
              </w:rPr>
            </w:pPr>
            <w:r w:rsidRPr="000C0795">
              <w:rPr>
                <w:rFonts w:cs="Arial"/>
                <w:b/>
                <w:sz w:val="22"/>
                <w:szCs w:val="22"/>
              </w:rPr>
              <w:t>2016/17</w:t>
            </w:r>
          </w:p>
          <w:p w:rsidR="000C0795" w:rsidRPr="000C0795" w:rsidRDefault="000C0795" w:rsidP="000C0795">
            <w:pPr>
              <w:spacing w:after="0"/>
              <w:jc w:val="center"/>
              <w:rPr>
                <w:rFonts w:cs="Arial"/>
                <w:b/>
                <w:sz w:val="22"/>
                <w:szCs w:val="22"/>
              </w:rPr>
            </w:pPr>
            <w:r>
              <w:rPr>
                <w:rFonts w:cs="Arial"/>
                <w:b/>
                <w:sz w:val="22"/>
                <w:szCs w:val="22"/>
              </w:rPr>
              <w:t>£m</w:t>
            </w:r>
          </w:p>
        </w:tc>
        <w:tc>
          <w:tcPr>
            <w:tcW w:w="1803" w:type="dxa"/>
            <w:shd w:val="clear" w:color="auto" w:fill="BFBFBF" w:themeFill="background1" w:themeFillShade="BF"/>
            <w:vAlign w:val="center"/>
          </w:tcPr>
          <w:p w:rsidR="00064B2E" w:rsidRDefault="00064B2E" w:rsidP="000C0795">
            <w:pPr>
              <w:spacing w:after="0"/>
              <w:jc w:val="center"/>
              <w:rPr>
                <w:rFonts w:cs="Arial"/>
                <w:b/>
                <w:sz w:val="22"/>
                <w:szCs w:val="22"/>
              </w:rPr>
            </w:pPr>
            <w:r w:rsidRPr="000C0795">
              <w:rPr>
                <w:rFonts w:cs="Arial"/>
                <w:b/>
                <w:sz w:val="22"/>
                <w:szCs w:val="22"/>
              </w:rPr>
              <w:t>2017/18</w:t>
            </w:r>
          </w:p>
          <w:p w:rsidR="000C0795" w:rsidRPr="000C0795" w:rsidRDefault="000C0795" w:rsidP="000C0795">
            <w:pPr>
              <w:spacing w:after="0"/>
              <w:jc w:val="center"/>
              <w:rPr>
                <w:rFonts w:cs="Arial"/>
                <w:b/>
                <w:sz w:val="22"/>
                <w:szCs w:val="22"/>
              </w:rPr>
            </w:pPr>
            <w:r>
              <w:rPr>
                <w:rFonts w:cs="Arial"/>
                <w:b/>
                <w:sz w:val="22"/>
                <w:szCs w:val="22"/>
              </w:rPr>
              <w:t>£m</w:t>
            </w:r>
          </w:p>
        </w:tc>
        <w:tc>
          <w:tcPr>
            <w:tcW w:w="1803" w:type="dxa"/>
            <w:shd w:val="clear" w:color="auto" w:fill="BFBFBF" w:themeFill="background1" w:themeFillShade="BF"/>
            <w:vAlign w:val="center"/>
          </w:tcPr>
          <w:p w:rsidR="00064B2E" w:rsidRDefault="00064B2E" w:rsidP="000C0795">
            <w:pPr>
              <w:spacing w:after="0"/>
              <w:jc w:val="center"/>
              <w:rPr>
                <w:rFonts w:cs="Arial"/>
                <w:b/>
                <w:sz w:val="22"/>
                <w:szCs w:val="22"/>
              </w:rPr>
            </w:pPr>
            <w:r w:rsidRPr="000C0795">
              <w:rPr>
                <w:rFonts w:cs="Arial"/>
                <w:b/>
                <w:sz w:val="22"/>
                <w:szCs w:val="22"/>
              </w:rPr>
              <w:t>2018/19</w:t>
            </w:r>
          </w:p>
          <w:p w:rsidR="000C0795" w:rsidRPr="000C0795" w:rsidRDefault="000C0795" w:rsidP="000C0795">
            <w:pPr>
              <w:spacing w:after="0"/>
              <w:jc w:val="center"/>
              <w:rPr>
                <w:rFonts w:cs="Arial"/>
                <w:b/>
                <w:sz w:val="22"/>
                <w:szCs w:val="22"/>
              </w:rPr>
            </w:pPr>
            <w:r>
              <w:rPr>
                <w:rFonts w:cs="Arial"/>
                <w:b/>
                <w:sz w:val="22"/>
                <w:szCs w:val="22"/>
              </w:rPr>
              <w:t>£m</w:t>
            </w:r>
          </w:p>
        </w:tc>
        <w:tc>
          <w:tcPr>
            <w:tcW w:w="1804" w:type="dxa"/>
            <w:shd w:val="clear" w:color="auto" w:fill="BFBFBF" w:themeFill="background1" w:themeFillShade="BF"/>
            <w:vAlign w:val="center"/>
          </w:tcPr>
          <w:p w:rsidR="00064B2E" w:rsidRDefault="00064B2E" w:rsidP="000C0795">
            <w:pPr>
              <w:spacing w:after="0"/>
              <w:jc w:val="center"/>
              <w:rPr>
                <w:rFonts w:cs="Arial"/>
                <w:b/>
                <w:sz w:val="22"/>
                <w:szCs w:val="22"/>
              </w:rPr>
            </w:pPr>
            <w:r w:rsidRPr="000C0795">
              <w:rPr>
                <w:rFonts w:cs="Arial"/>
                <w:b/>
                <w:sz w:val="22"/>
                <w:szCs w:val="22"/>
              </w:rPr>
              <w:t>2019/20</w:t>
            </w:r>
          </w:p>
          <w:p w:rsidR="000C0795" w:rsidRPr="000C0795" w:rsidRDefault="000C0795" w:rsidP="000C0795">
            <w:pPr>
              <w:spacing w:after="0"/>
              <w:jc w:val="center"/>
              <w:rPr>
                <w:rFonts w:cs="Arial"/>
                <w:b/>
                <w:sz w:val="22"/>
                <w:szCs w:val="22"/>
              </w:rPr>
            </w:pPr>
            <w:r>
              <w:rPr>
                <w:rFonts w:cs="Arial"/>
                <w:b/>
                <w:sz w:val="22"/>
                <w:szCs w:val="22"/>
              </w:rPr>
              <w:t>£m</w:t>
            </w:r>
          </w:p>
        </w:tc>
      </w:tr>
      <w:tr w:rsidR="00064B2E" w:rsidRPr="000C0795" w:rsidTr="000C0795">
        <w:trPr>
          <w:trHeight w:val="749"/>
        </w:trPr>
        <w:tc>
          <w:tcPr>
            <w:tcW w:w="1803" w:type="dxa"/>
            <w:vAlign w:val="center"/>
          </w:tcPr>
          <w:p w:rsidR="00064B2E" w:rsidRPr="000C0795" w:rsidRDefault="00064B2E" w:rsidP="000C0795">
            <w:pPr>
              <w:spacing w:after="0"/>
              <w:rPr>
                <w:rFonts w:cs="Arial"/>
                <w:b/>
                <w:sz w:val="22"/>
                <w:szCs w:val="22"/>
              </w:rPr>
            </w:pPr>
            <w:r w:rsidRPr="000C0795">
              <w:rPr>
                <w:rFonts w:cs="Arial"/>
                <w:b/>
                <w:sz w:val="22"/>
                <w:szCs w:val="22"/>
              </w:rPr>
              <w:t>MTFS change</w:t>
            </w:r>
          </w:p>
        </w:tc>
        <w:tc>
          <w:tcPr>
            <w:tcW w:w="1803" w:type="dxa"/>
            <w:tcBorders>
              <w:top w:val="single" w:sz="4" w:space="0" w:color="auto"/>
              <w:left w:val="nil"/>
              <w:bottom w:val="single" w:sz="4" w:space="0" w:color="auto"/>
              <w:right w:val="single" w:sz="4" w:space="0" w:color="auto"/>
            </w:tcBorders>
            <w:shd w:val="clear" w:color="auto" w:fill="auto"/>
            <w:vAlign w:val="center"/>
          </w:tcPr>
          <w:p w:rsidR="00064B2E" w:rsidRPr="000C0795" w:rsidRDefault="00064B2E" w:rsidP="000C0795">
            <w:pPr>
              <w:spacing w:after="0"/>
              <w:jc w:val="center"/>
              <w:rPr>
                <w:rFonts w:cs="Arial"/>
                <w:sz w:val="22"/>
                <w:szCs w:val="22"/>
              </w:rPr>
            </w:pPr>
            <w:r w:rsidRPr="000C0795">
              <w:rPr>
                <w:rFonts w:cs="Arial"/>
                <w:sz w:val="22"/>
                <w:szCs w:val="22"/>
              </w:rPr>
              <w:t>-5.685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064B2E" w:rsidRPr="000C0795" w:rsidRDefault="00064B2E" w:rsidP="000C0795">
            <w:pPr>
              <w:spacing w:after="0"/>
              <w:jc w:val="center"/>
              <w:rPr>
                <w:rFonts w:cs="Arial"/>
                <w:sz w:val="22"/>
                <w:szCs w:val="22"/>
              </w:rPr>
            </w:pPr>
            <w:r w:rsidRPr="000C0795">
              <w:rPr>
                <w:rFonts w:cs="Arial"/>
                <w:sz w:val="22"/>
                <w:szCs w:val="22"/>
              </w:rPr>
              <w:t>3.812</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064B2E" w:rsidRPr="000C0795" w:rsidRDefault="00064B2E" w:rsidP="000C0795">
            <w:pPr>
              <w:spacing w:after="0"/>
              <w:jc w:val="center"/>
              <w:rPr>
                <w:rFonts w:cs="Arial"/>
                <w:sz w:val="22"/>
                <w:szCs w:val="22"/>
              </w:rPr>
            </w:pPr>
            <w:r w:rsidRPr="000C0795">
              <w:rPr>
                <w:rFonts w:cs="Arial"/>
                <w:sz w:val="22"/>
                <w:szCs w:val="22"/>
              </w:rPr>
              <w:t>1.348</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064B2E" w:rsidRPr="000C0795" w:rsidRDefault="00064B2E" w:rsidP="000C0795">
            <w:pPr>
              <w:spacing w:after="0"/>
              <w:jc w:val="center"/>
              <w:rPr>
                <w:rFonts w:cs="Arial"/>
                <w:sz w:val="22"/>
                <w:szCs w:val="22"/>
              </w:rPr>
            </w:pPr>
            <w:r w:rsidRPr="000C0795">
              <w:rPr>
                <w:rFonts w:cs="Arial"/>
                <w:sz w:val="22"/>
                <w:szCs w:val="22"/>
              </w:rPr>
              <w:t>1.362</w:t>
            </w:r>
          </w:p>
        </w:tc>
      </w:tr>
    </w:tbl>
    <w:p w:rsidR="00757FB9" w:rsidRDefault="00757FB9" w:rsidP="008D5D96">
      <w:pPr>
        <w:tabs>
          <w:tab w:val="left" w:pos="567"/>
          <w:tab w:val="left" w:pos="1134"/>
        </w:tabs>
        <w:spacing w:after="0"/>
        <w:rPr>
          <w:rFonts w:cs="Arial"/>
          <w:b/>
        </w:rPr>
      </w:pPr>
    </w:p>
    <w:p w:rsidR="00194D1E" w:rsidRDefault="004D3311" w:rsidP="008D5D96">
      <w:pPr>
        <w:tabs>
          <w:tab w:val="left" w:pos="567"/>
          <w:tab w:val="left" w:pos="1134"/>
        </w:tabs>
        <w:spacing w:after="0"/>
        <w:rPr>
          <w:rFonts w:cs="Arial"/>
          <w:b/>
        </w:rPr>
      </w:pPr>
      <w:r w:rsidRPr="008D5D96">
        <w:rPr>
          <w:rFonts w:cs="Arial"/>
          <w:b/>
        </w:rPr>
        <w:t>4</w:t>
      </w:r>
      <w:r w:rsidR="00EB3E0F" w:rsidRPr="008D5D96">
        <w:rPr>
          <w:rFonts w:cs="Arial"/>
          <w:b/>
        </w:rPr>
        <w:t>.</w:t>
      </w:r>
      <w:r w:rsidR="00EB3E0F" w:rsidRPr="008D5D96">
        <w:rPr>
          <w:rFonts w:cs="Arial"/>
          <w:b/>
        </w:rPr>
        <w:tab/>
        <w:t>Future Risks</w:t>
      </w:r>
      <w:r w:rsidR="00064B2E" w:rsidRPr="008D5D96">
        <w:rPr>
          <w:rFonts w:cs="Arial"/>
          <w:b/>
        </w:rPr>
        <w:t xml:space="preserve"> </w:t>
      </w:r>
    </w:p>
    <w:p w:rsidR="000C0795" w:rsidRDefault="000C0795" w:rsidP="008D5D96">
      <w:pPr>
        <w:tabs>
          <w:tab w:val="left" w:pos="567"/>
          <w:tab w:val="left" w:pos="1134"/>
        </w:tabs>
        <w:spacing w:after="0"/>
        <w:rPr>
          <w:rFonts w:cs="Arial"/>
          <w:b/>
        </w:rPr>
      </w:pPr>
    </w:p>
    <w:p w:rsidR="00194D1E" w:rsidRPr="00472F78" w:rsidRDefault="00194D1E" w:rsidP="00194D1E">
      <w:pPr>
        <w:tabs>
          <w:tab w:val="left" w:pos="567"/>
          <w:tab w:val="left" w:pos="1134"/>
        </w:tabs>
        <w:spacing w:after="0"/>
        <w:rPr>
          <w:rFonts w:cs="Arial"/>
        </w:rPr>
      </w:pPr>
      <w:bookmarkStart w:id="0" w:name="_GoBack"/>
      <w:r w:rsidRPr="00472F78">
        <w:rPr>
          <w:rFonts w:cs="Arial"/>
        </w:rPr>
        <w:t xml:space="preserve">The following are key future risks, the full impact of which is not </w:t>
      </w:r>
      <w:r w:rsidR="00BD7FC9" w:rsidRPr="00472F78">
        <w:rPr>
          <w:rFonts w:cs="Arial"/>
        </w:rPr>
        <w:t xml:space="preserve">yet </w:t>
      </w:r>
      <w:r w:rsidRPr="00472F78">
        <w:rPr>
          <w:rFonts w:cs="Arial"/>
        </w:rPr>
        <w:t>known at this stage:</w:t>
      </w:r>
    </w:p>
    <w:p w:rsidR="00194D1E" w:rsidRPr="00472F78" w:rsidRDefault="00194D1E" w:rsidP="00194D1E">
      <w:pPr>
        <w:autoSpaceDE/>
        <w:autoSpaceDN/>
        <w:adjustRightInd/>
        <w:spacing w:after="0"/>
        <w:rPr>
          <w:rFonts w:cs="Arial"/>
          <w:color w:val="auto"/>
        </w:rPr>
      </w:pPr>
    </w:p>
    <w:p w:rsidR="00194D1E" w:rsidRPr="00472F78" w:rsidRDefault="00194D1E" w:rsidP="00617AC0">
      <w:pPr>
        <w:autoSpaceDE/>
        <w:autoSpaceDN/>
        <w:adjustRightInd/>
        <w:spacing w:after="0"/>
        <w:rPr>
          <w:rFonts w:cs="Arial"/>
          <w:b/>
          <w:color w:val="auto"/>
        </w:rPr>
      </w:pPr>
      <w:r w:rsidRPr="00472F78">
        <w:rPr>
          <w:rFonts w:cs="Arial"/>
          <w:b/>
          <w:color w:val="auto"/>
        </w:rPr>
        <w:t>4.1</w:t>
      </w:r>
      <w:r w:rsidRPr="00472F78">
        <w:rPr>
          <w:rFonts w:cs="Arial"/>
          <w:b/>
          <w:color w:val="auto"/>
        </w:rPr>
        <w:tab/>
        <w:t xml:space="preserve">Better Care Fund </w:t>
      </w:r>
    </w:p>
    <w:p w:rsidR="00194D1E" w:rsidRPr="00472F78" w:rsidRDefault="00194D1E" w:rsidP="00617AC0">
      <w:pPr>
        <w:autoSpaceDE/>
        <w:autoSpaceDN/>
        <w:adjustRightInd/>
        <w:spacing w:after="0"/>
        <w:rPr>
          <w:rFonts w:cs="Arial"/>
          <w:b/>
          <w:color w:val="auto"/>
        </w:rPr>
      </w:pPr>
    </w:p>
    <w:p w:rsidR="00194D1E" w:rsidRPr="00472F78" w:rsidRDefault="00194D1E" w:rsidP="00617AC0">
      <w:pPr>
        <w:autoSpaceDE/>
        <w:autoSpaceDN/>
        <w:adjustRightInd/>
        <w:spacing w:after="0"/>
        <w:rPr>
          <w:rFonts w:cs="Arial"/>
          <w:color w:val="auto"/>
        </w:rPr>
      </w:pPr>
      <w:r w:rsidRPr="00472F78">
        <w:rPr>
          <w:rFonts w:cs="Arial"/>
          <w:color w:val="auto"/>
        </w:rPr>
        <w:t>The budget currently includes £20m of income from the Better Care Fund. This will only be received if it is annually re-agreed by the 6 Lancashire CCGs. It is currently assumed that this will continue in the MTFS.</w:t>
      </w:r>
    </w:p>
    <w:p w:rsidR="00194D1E" w:rsidRPr="00472F78" w:rsidRDefault="00194D1E" w:rsidP="00617AC0">
      <w:pPr>
        <w:tabs>
          <w:tab w:val="left" w:pos="567"/>
          <w:tab w:val="left" w:pos="1134"/>
        </w:tabs>
        <w:spacing w:after="0"/>
        <w:rPr>
          <w:rFonts w:cs="Arial"/>
        </w:rPr>
      </w:pPr>
    </w:p>
    <w:p w:rsidR="00194D1E" w:rsidRPr="00472F78" w:rsidRDefault="00194D1E" w:rsidP="00617AC0">
      <w:pPr>
        <w:spacing w:after="0"/>
        <w:rPr>
          <w:rFonts w:cs="Arial"/>
        </w:rPr>
      </w:pPr>
      <w:r w:rsidRPr="00472F78">
        <w:rPr>
          <w:rFonts w:cs="Arial"/>
          <w:b/>
        </w:rPr>
        <w:t>4.2 Deprivation of Liberty Safeguards</w:t>
      </w:r>
    </w:p>
    <w:p w:rsidR="00DA3850" w:rsidRPr="00472F78" w:rsidRDefault="00DA3850" w:rsidP="00617AC0">
      <w:pPr>
        <w:pStyle w:val="ListParagraph"/>
        <w:spacing w:after="0"/>
        <w:ind w:left="0"/>
        <w:rPr>
          <w:rFonts w:cs="Arial"/>
        </w:rPr>
      </w:pPr>
    </w:p>
    <w:p w:rsidR="00194D1E" w:rsidRPr="00472F78" w:rsidRDefault="00194D1E" w:rsidP="00617AC0">
      <w:pPr>
        <w:pStyle w:val="ListParagraph"/>
        <w:spacing w:after="0"/>
        <w:ind w:left="0"/>
        <w:rPr>
          <w:rFonts w:cs="Arial"/>
        </w:rPr>
      </w:pPr>
      <w:r w:rsidRPr="00472F78">
        <w:rPr>
          <w:rFonts w:cs="Arial"/>
        </w:rPr>
        <w:t>The Deprivation of Liberty Safeguards (</w:t>
      </w:r>
      <w:proofErr w:type="spellStart"/>
      <w:r w:rsidRPr="00472F78">
        <w:rPr>
          <w:rFonts w:cs="Arial"/>
        </w:rPr>
        <w:t>DoLS</w:t>
      </w:r>
      <w:proofErr w:type="spellEnd"/>
      <w:r w:rsidRPr="00472F78">
        <w:rPr>
          <w:rFonts w:cs="Arial"/>
        </w:rPr>
        <w:t>) was implemented on 1 April 2009. It provides a legal framework for preventing the unlawful detention of anyone over the age of 18, in a care home or hospital, who lacks the capacity to consent to their care arrangements and residence.</w:t>
      </w:r>
    </w:p>
    <w:p w:rsidR="00194D1E" w:rsidRPr="00472F78" w:rsidRDefault="00194D1E" w:rsidP="00617AC0">
      <w:pPr>
        <w:pStyle w:val="ListParagraph"/>
        <w:spacing w:after="0"/>
        <w:ind w:left="0"/>
        <w:rPr>
          <w:rFonts w:cs="Arial"/>
        </w:rPr>
      </w:pPr>
    </w:p>
    <w:p w:rsidR="00194D1E" w:rsidRPr="00472F78" w:rsidRDefault="00194D1E" w:rsidP="00617AC0">
      <w:pPr>
        <w:tabs>
          <w:tab w:val="left" w:pos="567"/>
          <w:tab w:val="left" w:pos="1134"/>
        </w:tabs>
        <w:spacing w:after="0"/>
        <w:rPr>
          <w:rFonts w:cs="Arial"/>
        </w:rPr>
      </w:pPr>
      <w:r w:rsidRPr="00472F78">
        <w:rPr>
          <w:rFonts w:cs="Arial"/>
        </w:rPr>
        <w:t xml:space="preserve">Since March 2013 Lancashire County Council has </w:t>
      </w:r>
      <w:r w:rsidR="00935FA0" w:rsidRPr="00472F78">
        <w:rPr>
          <w:rFonts w:cs="Arial"/>
        </w:rPr>
        <w:t xml:space="preserve">taken </w:t>
      </w:r>
      <w:r w:rsidRPr="00472F78">
        <w:rPr>
          <w:rFonts w:cs="Arial"/>
        </w:rPr>
        <w:t xml:space="preserve">the responsibility for assessment of people who meet </w:t>
      </w:r>
      <w:proofErr w:type="spellStart"/>
      <w:r w:rsidRPr="00472F78">
        <w:rPr>
          <w:rFonts w:cs="Arial"/>
        </w:rPr>
        <w:t>DoLS</w:t>
      </w:r>
      <w:proofErr w:type="spellEnd"/>
      <w:r w:rsidRPr="00472F78">
        <w:rPr>
          <w:rFonts w:cs="Arial"/>
        </w:rPr>
        <w:t xml:space="preserve"> criteria in hospitals as well as residential care homes and due to a Supreme Court ruling many more people are covered by the regulations.  If the legal duty was rigidly applied revised estimates suggest that up to £5m could be the recurrent cost of full compliance.</w:t>
      </w:r>
      <w:r w:rsidR="00BD7FC9" w:rsidRPr="00472F78">
        <w:rPr>
          <w:rFonts w:cs="Arial"/>
        </w:rPr>
        <w:t xml:space="preserve"> </w:t>
      </w:r>
      <w:r w:rsidRPr="00472F78">
        <w:rPr>
          <w:rFonts w:cs="Arial"/>
        </w:rPr>
        <w:t>This has not been factored in to the MTFS</w:t>
      </w:r>
      <w:r w:rsidR="000C0795" w:rsidRPr="00472F78">
        <w:rPr>
          <w:rFonts w:cs="Arial"/>
        </w:rPr>
        <w:t>.</w:t>
      </w:r>
    </w:p>
    <w:p w:rsidR="00A31E85" w:rsidRPr="00472F78" w:rsidRDefault="00A31E85" w:rsidP="00617AC0">
      <w:pPr>
        <w:tabs>
          <w:tab w:val="left" w:pos="567"/>
          <w:tab w:val="left" w:pos="1134"/>
        </w:tabs>
        <w:spacing w:after="0"/>
        <w:rPr>
          <w:rFonts w:cs="Arial"/>
        </w:rPr>
      </w:pPr>
    </w:p>
    <w:p w:rsidR="00A31E85" w:rsidRPr="00472F78" w:rsidRDefault="00A31E85">
      <w:pPr>
        <w:autoSpaceDE/>
        <w:autoSpaceDN/>
        <w:adjustRightInd/>
        <w:spacing w:after="0"/>
        <w:jc w:val="left"/>
        <w:rPr>
          <w:rFonts w:cs="Arial"/>
          <w:b/>
        </w:rPr>
      </w:pPr>
      <w:r w:rsidRPr="00472F78">
        <w:rPr>
          <w:rFonts w:cs="Arial"/>
          <w:b/>
        </w:rPr>
        <w:br w:type="page"/>
      </w:r>
    </w:p>
    <w:p w:rsidR="00194D1E" w:rsidRPr="00472F78" w:rsidRDefault="00194D1E" w:rsidP="00617AC0">
      <w:pPr>
        <w:tabs>
          <w:tab w:val="left" w:pos="567"/>
          <w:tab w:val="left" w:pos="1134"/>
        </w:tabs>
        <w:spacing w:after="0"/>
        <w:rPr>
          <w:rFonts w:cs="Arial"/>
          <w:b/>
        </w:rPr>
      </w:pPr>
      <w:r w:rsidRPr="00472F78">
        <w:rPr>
          <w:rFonts w:cs="Arial"/>
          <w:b/>
        </w:rPr>
        <w:lastRenderedPageBreak/>
        <w:t>4.3 Education Services Grant</w:t>
      </w:r>
      <w:r w:rsidR="00DA3850" w:rsidRPr="00472F78">
        <w:rPr>
          <w:rFonts w:cs="Arial"/>
          <w:b/>
        </w:rPr>
        <w:t xml:space="preserve"> (ESG)</w:t>
      </w:r>
    </w:p>
    <w:p w:rsidR="00277907" w:rsidRPr="00472F78" w:rsidRDefault="00277907" w:rsidP="00617AC0">
      <w:pPr>
        <w:tabs>
          <w:tab w:val="left" w:pos="567"/>
          <w:tab w:val="left" w:pos="1134"/>
        </w:tabs>
        <w:spacing w:after="0"/>
        <w:rPr>
          <w:rFonts w:cs="Arial"/>
        </w:rPr>
      </w:pPr>
    </w:p>
    <w:p w:rsidR="003D3C68" w:rsidRPr="00472F78" w:rsidRDefault="00064B2E" w:rsidP="00617AC0">
      <w:pPr>
        <w:tabs>
          <w:tab w:val="left" w:pos="567"/>
          <w:tab w:val="left" w:pos="1134"/>
        </w:tabs>
        <w:spacing w:after="0"/>
        <w:rPr>
          <w:rFonts w:cs="Arial"/>
        </w:rPr>
      </w:pPr>
      <w:r w:rsidRPr="00472F78">
        <w:rPr>
          <w:rFonts w:cs="Arial"/>
        </w:rPr>
        <w:t xml:space="preserve">The Chancellor of the Exchequer announced in his </w:t>
      </w:r>
      <w:r w:rsidR="00EA2809" w:rsidRPr="00472F78">
        <w:rPr>
          <w:rFonts w:cs="Arial"/>
        </w:rPr>
        <w:t>A</w:t>
      </w:r>
      <w:r w:rsidRPr="00472F78">
        <w:rPr>
          <w:rFonts w:cs="Arial"/>
        </w:rPr>
        <w:t xml:space="preserve">utumn </w:t>
      </w:r>
      <w:r w:rsidR="008D5D96" w:rsidRPr="00472F78">
        <w:rPr>
          <w:rFonts w:cs="Arial"/>
        </w:rPr>
        <w:t>Statement £</w:t>
      </w:r>
      <w:r w:rsidR="00CD156D" w:rsidRPr="00472F78">
        <w:rPr>
          <w:rFonts w:cs="Arial"/>
        </w:rPr>
        <w:t xml:space="preserve">600m savings from Education Services Grant as the government reduces </w:t>
      </w:r>
      <w:r w:rsidR="00DA3850" w:rsidRPr="00472F78">
        <w:rPr>
          <w:rFonts w:cs="Arial"/>
        </w:rPr>
        <w:t xml:space="preserve">the </w:t>
      </w:r>
      <w:r w:rsidR="00CD156D" w:rsidRPr="00472F78">
        <w:rPr>
          <w:rFonts w:cs="Arial"/>
        </w:rPr>
        <w:t>local authority role and statutory duties with schools.  ESG is approximately £16m in Lancashire but as yet there has been no detail on the likely loss of resource to the County</w:t>
      </w:r>
      <w:r w:rsidR="00BD7FC9" w:rsidRPr="00472F78">
        <w:rPr>
          <w:rFonts w:cs="Arial"/>
        </w:rPr>
        <w:t xml:space="preserve"> Council</w:t>
      </w:r>
      <w:r w:rsidR="00CD156D" w:rsidRPr="00472F78">
        <w:rPr>
          <w:rFonts w:cs="Arial"/>
        </w:rPr>
        <w:t>.</w:t>
      </w:r>
    </w:p>
    <w:bookmarkEnd w:id="0"/>
    <w:p w:rsidR="00194D1E" w:rsidRPr="008D5D96" w:rsidRDefault="00194D1E" w:rsidP="00617AC0">
      <w:pPr>
        <w:autoSpaceDE/>
        <w:autoSpaceDN/>
        <w:adjustRightInd/>
        <w:spacing w:after="0"/>
        <w:rPr>
          <w:rFonts w:cs="Arial"/>
          <w:color w:val="auto"/>
        </w:rPr>
      </w:pPr>
    </w:p>
    <w:sectPr w:rsidR="00194D1E" w:rsidRPr="008D5D96" w:rsidSect="008B43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B9" w:rsidRDefault="008150B9" w:rsidP="00124FDC">
      <w:pPr>
        <w:spacing w:after="0"/>
      </w:pPr>
      <w:r>
        <w:separator/>
      </w:r>
    </w:p>
  </w:endnote>
  <w:endnote w:type="continuationSeparator" w:id="0">
    <w:p w:rsidR="008150B9" w:rsidRDefault="008150B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8150B9" w:rsidRDefault="008150B9">
        <w:pPr>
          <w:pStyle w:val="Footer"/>
        </w:pPr>
        <w:r>
          <w:fldChar w:fldCharType="begin"/>
        </w:r>
        <w:r>
          <w:instrText xml:space="preserve"> PAGE   \* MERGEFORMAT </w:instrText>
        </w:r>
        <w:r>
          <w:fldChar w:fldCharType="separate"/>
        </w:r>
        <w:r w:rsidR="00472F78">
          <w:rPr>
            <w:noProof/>
          </w:rPr>
          <w:t>16</w:t>
        </w:r>
        <w:r>
          <w:rPr>
            <w:noProof/>
          </w:rPr>
          <w:fldChar w:fldCharType="end"/>
        </w:r>
      </w:p>
    </w:sdtContent>
  </w:sdt>
  <w:p w:rsidR="008150B9" w:rsidRDefault="0081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B9" w:rsidRDefault="008150B9" w:rsidP="00124FDC">
      <w:pPr>
        <w:spacing w:after="0"/>
      </w:pPr>
      <w:r>
        <w:separator/>
      </w:r>
    </w:p>
  </w:footnote>
  <w:footnote w:type="continuationSeparator" w:id="0">
    <w:p w:rsidR="008150B9" w:rsidRDefault="008150B9"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89987"/>
      <w:docPartObj>
        <w:docPartGallery w:val="Page Numbers (Top of Page)"/>
        <w:docPartUnique/>
      </w:docPartObj>
    </w:sdtPr>
    <w:sdtEndPr>
      <w:rPr>
        <w:noProof/>
      </w:rPr>
    </w:sdtEndPr>
    <w:sdtContent>
      <w:p w:rsidR="008150B9" w:rsidRDefault="008150B9">
        <w:pPr>
          <w:pStyle w:val="Header"/>
        </w:pPr>
        <w:r>
          <w:fldChar w:fldCharType="begin"/>
        </w:r>
        <w:r>
          <w:instrText xml:space="preserve"> PAGE   \* MERGEFORMAT </w:instrText>
        </w:r>
        <w:r>
          <w:fldChar w:fldCharType="separate"/>
        </w:r>
        <w:r w:rsidR="00472F78">
          <w:rPr>
            <w:noProof/>
          </w:rPr>
          <w:t>16</w:t>
        </w:r>
        <w:r>
          <w:rPr>
            <w:noProof/>
          </w:rPr>
          <w:fldChar w:fldCharType="end"/>
        </w:r>
      </w:p>
    </w:sdtContent>
  </w:sdt>
  <w:p w:rsidR="008150B9" w:rsidRDefault="00815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B9" w:rsidRDefault="008150B9" w:rsidP="00846AEA">
    <w:pPr>
      <w:pStyle w:val="Header"/>
    </w:pPr>
    <w:r>
      <w:rPr>
        <w:noProof/>
        <w:lang w:eastAsia="en-GB"/>
      </w:rPr>
      <w:drawing>
        <wp:anchor distT="0" distB="0" distL="114300" distR="114300" simplePos="0" relativeHeight="251658240" behindDoc="1" locked="0" layoutInCell="1" allowOverlap="1" wp14:anchorId="19FC8F59" wp14:editId="09140966">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60288" behindDoc="0" locked="0" layoutInCell="1" allowOverlap="1" wp14:anchorId="60B94D25" wp14:editId="3FD15C08">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rsidR="008150B9" w:rsidRPr="000C5639" w:rsidRDefault="008150B9">
                          <w:pPr>
                            <w:rPr>
                              <w:b/>
                            </w:rPr>
                          </w:pPr>
                          <w:r w:rsidRPr="000C5639">
                            <w:rPr>
                              <w:b/>
                            </w:rPr>
                            <w:t xml:space="preserve">Appendix </w:t>
                          </w:r>
                          <w:r>
                            <w:rPr>
                              <w:b/>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94D25"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rsidR="008150B9" w:rsidRPr="000C5639" w:rsidRDefault="008150B9">
                    <w:pPr>
                      <w:rPr>
                        <w:b/>
                      </w:rPr>
                    </w:pPr>
                    <w:r w:rsidRPr="000C5639">
                      <w:rPr>
                        <w:b/>
                      </w:rPr>
                      <w:t xml:space="preserve">Appendix </w:t>
                    </w:r>
                    <w:r>
                      <w:rPr>
                        <w:b/>
                      </w:rPr>
                      <w:t>C</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C985E58"/>
    <w:multiLevelType w:val="hybridMultilevel"/>
    <w:tmpl w:val="3030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13F58F7"/>
    <w:multiLevelType w:val="hybridMultilevel"/>
    <w:tmpl w:val="63AA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3A66F29"/>
    <w:multiLevelType w:val="hybridMultilevel"/>
    <w:tmpl w:val="3A1A4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4E6E76"/>
    <w:multiLevelType w:val="hybridMultilevel"/>
    <w:tmpl w:val="C6F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5974DE"/>
    <w:multiLevelType w:val="hybridMultilevel"/>
    <w:tmpl w:val="9D4278F8"/>
    <w:lvl w:ilvl="0" w:tplc="09C420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997D61"/>
    <w:multiLevelType w:val="hybridMultilevel"/>
    <w:tmpl w:val="7F4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13AEB"/>
    <w:multiLevelType w:val="hybridMultilevel"/>
    <w:tmpl w:val="C942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338E1B06"/>
    <w:multiLevelType w:val="hybridMultilevel"/>
    <w:tmpl w:val="C8C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BA7EAE"/>
    <w:multiLevelType w:val="hybridMultilevel"/>
    <w:tmpl w:val="64F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9375E1"/>
    <w:multiLevelType w:val="hybridMultilevel"/>
    <w:tmpl w:val="0CE622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15:restartNumberingAfterBreak="0">
    <w:nsid w:val="4C551976"/>
    <w:multiLevelType w:val="hybridMultilevel"/>
    <w:tmpl w:val="199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F26A82"/>
    <w:multiLevelType w:val="hybridMultilevel"/>
    <w:tmpl w:val="AEE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D0BFF"/>
    <w:multiLevelType w:val="hybridMultilevel"/>
    <w:tmpl w:val="C96228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5" w15:restartNumberingAfterBreak="0">
    <w:nsid w:val="5F4A6DDA"/>
    <w:multiLevelType w:val="hybridMultilevel"/>
    <w:tmpl w:val="AC0271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F573C"/>
    <w:multiLevelType w:val="hybridMultilevel"/>
    <w:tmpl w:val="AB78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374F1"/>
    <w:multiLevelType w:val="hybridMultilevel"/>
    <w:tmpl w:val="DE1EC754"/>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B93E4D"/>
    <w:multiLevelType w:val="multilevel"/>
    <w:tmpl w:val="B704A0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6AA2E82"/>
    <w:multiLevelType w:val="hybridMultilevel"/>
    <w:tmpl w:val="DA7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B5C1A"/>
    <w:multiLevelType w:val="hybridMultilevel"/>
    <w:tmpl w:val="DD9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D0296"/>
    <w:multiLevelType w:val="hybridMultilevel"/>
    <w:tmpl w:val="B9A68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FE01796"/>
    <w:multiLevelType w:val="hybridMultilevel"/>
    <w:tmpl w:val="EF5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43"/>
  </w:num>
  <w:num w:numId="4">
    <w:abstractNumId w:val="3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40"/>
  </w:num>
  <w:num w:numId="27">
    <w:abstractNumId w:val="34"/>
  </w:num>
  <w:num w:numId="28">
    <w:abstractNumId w:val="41"/>
  </w:num>
  <w:num w:numId="29">
    <w:abstractNumId w:val="42"/>
  </w:num>
  <w:num w:numId="30">
    <w:abstractNumId w:val="35"/>
  </w:num>
  <w:num w:numId="31">
    <w:abstractNumId w:val="38"/>
  </w:num>
  <w:num w:numId="32">
    <w:abstractNumId w:val="20"/>
  </w:num>
  <w:num w:numId="33">
    <w:abstractNumId w:val="23"/>
  </w:num>
  <w:num w:numId="34">
    <w:abstractNumId w:val="45"/>
  </w:num>
  <w:num w:numId="35">
    <w:abstractNumId w:val="26"/>
  </w:num>
  <w:num w:numId="36">
    <w:abstractNumId w:val="31"/>
  </w:num>
  <w:num w:numId="37">
    <w:abstractNumId w:val="24"/>
  </w:num>
  <w:num w:numId="38">
    <w:abstractNumId w:val="22"/>
  </w:num>
  <w:num w:numId="39">
    <w:abstractNumId w:val="32"/>
  </w:num>
  <w:num w:numId="40">
    <w:abstractNumId w:val="33"/>
  </w:num>
  <w:num w:numId="41">
    <w:abstractNumId w:val="21"/>
  </w:num>
  <w:num w:numId="42">
    <w:abstractNumId w:val="46"/>
  </w:num>
  <w:num w:numId="43">
    <w:abstractNumId w:val="37"/>
  </w:num>
  <w:num w:numId="44">
    <w:abstractNumId w:val="29"/>
  </w:num>
  <w:num w:numId="45">
    <w:abstractNumId w:val="44"/>
  </w:num>
  <w:num w:numId="46">
    <w:abstractNumId w:val="25"/>
  </w:num>
  <w:num w:numId="47">
    <w:abstractNumId w:val="47"/>
  </w:num>
  <w:num w:numId="4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481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88E"/>
    <w:rsid w:val="00005501"/>
    <w:rsid w:val="000061C5"/>
    <w:rsid w:val="000112C8"/>
    <w:rsid w:val="0001341B"/>
    <w:rsid w:val="0002009B"/>
    <w:rsid w:val="000205B8"/>
    <w:rsid w:val="0002209D"/>
    <w:rsid w:val="00022310"/>
    <w:rsid w:val="00025819"/>
    <w:rsid w:val="0002619E"/>
    <w:rsid w:val="00026664"/>
    <w:rsid w:val="00033801"/>
    <w:rsid w:val="00044FF2"/>
    <w:rsid w:val="0004609F"/>
    <w:rsid w:val="00052490"/>
    <w:rsid w:val="00054C03"/>
    <w:rsid w:val="000561EF"/>
    <w:rsid w:val="00057B51"/>
    <w:rsid w:val="00064B2E"/>
    <w:rsid w:val="000663E0"/>
    <w:rsid w:val="000701AB"/>
    <w:rsid w:val="00071F35"/>
    <w:rsid w:val="0007606B"/>
    <w:rsid w:val="0008047C"/>
    <w:rsid w:val="00081179"/>
    <w:rsid w:val="00081E12"/>
    <w:rsid w:val="00083512"/>
    <w:rsid w:val="0008360D"/>
    <w:rsid w:val="00085091"/>
    <w:rsid w:val="00092756"/>
    <w:rsid w:val="000932E2"/>
    <w:rsid w:val="0009438D"/>
    <w:rsid w:val="00094919"/>
    <w:rsid w:val="000A1E1B"/>
    <w:rsid w:val="000A3809"/>
    <w:rsid w:val="000A3BD2"/>
    <w:rsid w:val="000A3FA6"/>
    <w:rsid w:val="000A4253"/>
    <w:rsid w:val="000A4469"/>
    <w:rsid w:val="000A5B83"/>
    <w:rsid w:val="000A747F"/>
    <w:rsid w:val="000A778B"/>
    <w:rsid w:val="000B11F8"/>
    <w:rsid w:val="000B1B4D"/>
    <w:rsid w:val="000B1C91"/>
    <w:rsid w:val="000B29E0"/>
    <w:rsid w:val="000B2AE1"/>
    <w:rsid w:val="000B5277"/>
    <w:rsid w:val="000B6397"/>
    <w:rsid w:val="000B6F0F"/>
    <w:rsid w:val="000C0795"/>
    <w:rsid w:val="000C35EE"/>
    <w:rsid w:val="000C5639"/>
    <w:rsid w:val="000C58C2"/>
    <w:rsid w:val="000D0679"/>
    <w:rsid w:val="000D15C8"/>
    <w:rsid w:val="000D1F39"/>
    <w:rsid w:val="000D2A7F"/>
    <w:rsid w:val="000D3601"/>
    <w:rsid w:val="000D4309"/>
    <w:rsid w:val="000D4BF2"/>
    <w:rsid w:val="000E00B0"/>
    <w:rsid w:val="000E02B4"/>
    <w:rsid w:val="000E136B"/>
    <w:rsid w:val="000E333A"/>
    <w:rsid w:val="000E39EC"/>
    <w:rsid w:val="000E4831"/>
    <w:rsid w:val="000E7CA1"/>
    <w:rsid w:val="000F0210"/>
    <w:rsid w:val="000F0E5F"/>
    <w:rsid w:val="000F1242"/>
    <w:rsid w:val="000F14B4"/>
    <w:rsid w:val="000F2763"/>
    <w:rsid w:val="000F2931"/>
    <w:rsid w:val="000F38C5"/>
    <w:rsid w:val="000F5673"/>
    <w:rsid w:val="000F5B37"/>
    <w:rsid w:val="000F5D50"/>
    <w:rsid w:val="000F748D"/>
    <w:rsid w:val="001001D6"/>
    <w:rsid w:val="00107954"/>
    <w:rsid w:val="00112647"/>
    <w:rsid w:val="00112B05"/>
    <w:rsid w:val="00116F50"/>
    <w:rsid w:val="00120778"/>
    <w:rsid w:val="00121597"/>
    <w:rsid w:val="00122E8D"/>
    <w:rsid w:val="001230E2"/>
    <w:rsid w:val="00124613"/>
    <w:rsid w:val="001248E1"/>
    <w:rsid w:val="00124FDC"/>
    <w:rsid w:val="001300FC"/>
    <w:rsid w:val="0013075A"/>
    <w:rsid w:val="00130AB3"/>
    <w:rsid w:val="001314AB"/>
    <w:rsid w:val="001318F2"/>
    <w:rsid w:val="00132416"/>
    <w:rsid w:val="0013275E"/>
    <w:rsid w:val="001362D3"/>
    <w:rsid w:val="0013756B"/>
    <w:rsid w:val="00142E26"/>
    <w:rsid w:val="00145395"/>
    <w:rsid w:val="001459AE"/>
    <w:rsid w:val="00145C7C"/>
    <w:rsid w:val="00147C02"/>
    <w:rsid w:val="00147CFE"/>
    <w:rsid w:val="00147F41"/>
    <w:rsid w:val="0015063B"/>
    <w:rsid w:val="0015133E"/>
    <w:rsid w:val="00151735"/>
    <w:rsid w:val="00151E3C"/>
    <w:rsid w:val="00153BDE"/>
    <w:rsid w:val="001547F8"/>
    <w:rsid w:val="00154FFB"/>
    <w:rsid w:val="001562D2"/>
    <w:rsid w:val="00157938"/>
    <w:rsid w:val="00157DE1"/>
    <w:rsid w:val="0016157E"/>
    <w:rsid w:val="00161767"/>
    <w:rsid w:val="00161C22"/>
    <w:rsid w:val="00161D2B"/>
    <w:rsid w:val="0016461D"/>
    <w:rsid w:val="00165163"/>
    <w:rsid w:val="00172D71"/>
    <w:rsid w:val="00174280"/>
    <w:rsid w:val="00175707"/>
    <w:rsid w:val="001760F2"/>
    <w:rsid w:val="0017632B"/>
    <w:rsid w:val="00176F2E"/>
    <w:rsid w:val="0018449A"/>
    <w:rsid w:val="00185694"/>
    <w:rsid w:val="001873E0"/>
    <w:rsid w:val="00187489"/>
    <w:rsid w:val="00194D1E"/>
    <w:rsid w:val="001970A0"/>
    <w:rsid w:val="001A134C"/>
    <w:rsid w:val="001A3073"/>
    <w:rsid w:val="001A3334"/>
    <w:rsid w:val="001A5E75"/>
    <w:rsid w:val="001B1E3C"/>
    <w:rsid w:val="001B269D"/>
    <w:rsid w:val="001B540F"/>
    <w:rsid w:val="001B5633"/>
    <w:rsid w:val="001B6014"/>
    <w:rsid w:val="001C1BD1"/>
    <w:rsid w:val="001C1C6F"/>
    <w:rsid w:val="001C411B"/>
    <w:rsid w:val="001C5326"/>
    <w:rsid w:val="001C5E7F"/>
    <w:rsid w:val="001C68E2"/>
    <w:rsid w:val="001D163E"/>
    <w:rsid w:val="001D24BD"/>
    <w:rsid w:val="001D39F6"/>
    <w:rsid w:val="001D524A"/>
    <w:rsid w:val="001D5EAF"/>
    <w:rsid w:val="001D6C4E"/>
    <w:rsid w:val="001E22B3"/>
    <w:rsid w:val="001E3125"/>
    <w:rsid w:val="001E417F"/>
    <w:rsid w:val="001E4CC7"/>
    <w:rsid w:val="001E6005"/>
    <w:rsid w:val="001E727E"/>
    <w:rsid w:val="001E7EF0"/>
    <w:rsid w:val="001F0AA6"/>
    <w:rsid w:val="001F0E9A"/>
    <w:rsid w:val="001F25A1"/>
    <w:rsid w:val="00201BAD"/>
    <w:rsid w:val="00210D52"/>
    <w:rsid w:val="002135B1"/>
    <w:rsid w:val="0021392C"/>
    <w:rsid w:val="00214801"/>
    <w:rsid w:val="00215E5F"/>
    <w:rsid w:val="00220D0A"/>
    <w:rsid w:val="00220E9B"/>
    <w:rsid w:val="00222D1E"/>
    <w:rsid w:val="0022383E"/>
    <w:rsid w:val="002267A3"/>
    <w:rsid w:val="00227E9E"/>
    <w:rsid w:val="0023427F"/>
    <w:rsid w:val="002345FB"/>
    <w:rsid w:val="002346A0"/>
    <w:rsid w:val="00237443"/>
    <w:rsid w:val="0024389A"/>
    <w:rsid w:val="00244522"/>
    <w:rsid w:val="00247D4E"/>
    <w:rsid w:val="002524AA"/>
    <w:rsid w:val="00253113"/>
    <w:rsid w:val="00257164"/>
    <w:rsid w:val="002578B8"/>
    <w:rsid w:val="00261225"/>
    <w:rsid w:val="00263676"/>
    <w:rsid w:val="00263DFF"/>
    <w:rsid w:val="0026678D"/>
    <w:rsid w:val="00267A41"/>
    <w:rsid w:val="00267E3B"/>
    <w:rsid w:val="00267F8F"/>
    <w:rsid w:val="00271E25"/>
    <w:rsid w:val="0027221E"/>
    <w:rsid w:val="00275B89"/>
    <w:rsid w:val="002767E5"/>
    <w:rsid w:val="00277907"/>
    <w:rsid w:val="00277A04"/>
    <w:rsid w:val="00280302"/>
    <w:rsid w:val="00281DD8"/>
    <w:rsid w:val="0028208E"/>
    <w:rsid w:val="002822BA"/>
    <w:rsid w:val="00283C71"/>
    <w:rsid w:val="00283C75"/>
    <w:rsid w:val="00290320"/>
    <w:rsid w:val="00290F56"/>
    <w:rsid w:val="002918E8"/>
    <w:rsid w:val="00291D41"/>
    <w:rsid w:val="002928DB"/>
    <w:rsid w:val="002A0203"/>
    <w:rsid w:val="002A03A8"/>
    <w:rsid w:val="002A09EE"/>
    <w:rsid w:val="002A18D1"/>
    <w:rsid w:val="002A1E91"/>
    <w:rsid w:val="002A2C0D"/>
    <w:rsid w:val="002A3292"/>
    <w:rsid w:val="002A351D"/>
    <w:rsid w:val="002A3A86"/>
    <w:rsid w:val="002A3DD0"/>
    <w:rsid w:val="002A501C"/>
    <w:rsid w:val="002A6DE2"/>
    <w:rsid w:val="002A77D7"/>
    <w:rsid w:val="002B109C"/>
    <w:rsid w:val="002B35AA"/>
    <w:rsid w:val="002B3977"/>
    <w:rsid w:val="002B6FC4"/>
    <w:rsid w:val="002C16D3"/>
    <w:rsid w:val="002C3796"/>
    <w:rsid w:val="002C4196"/>
    <w:rsid w:val="002C482F"/>
    <w:rsid w:val="002C5356"/>
    <w:rsid w:val="002C7567"/>
    <w:rsid w:val="002D1058"/>
    <w:rsid w:val="002D3AFF"/>
    <w:rsid w:val="002D4958"/>
    <w:rsid w:val="002D5781"/>
    <w:rsid w:val="002D6267"/>
    <w:rsid w:val="002D637D"/>
    <w:rsid w:val="002D71FE"/>
    <w:rsid w:val="002D7921"/>
    <w:rsid w:val="002E0CED"/>
    <w:rsid w:val="002E3569"/>
    <w:rsid w:val="002E4007"/>
    <w:rsid w:val="002E4EFF"/>
    <w:rsid w:val="002E4FB1"/>
    <w:rsid w:val="002E5340"/>
    <w:rsid w:val="002E5C88"/>
    <w:rsid w:val="002E66B7"/>
    <w:rsid w:val="002F30B9"/>
    <w:rsid w:val="002F3210"/>
    <w:rsid w:val="002F4AF1"/>
    <w:rsid w:val="002F60DB"/>
    <w:rsid w:val="003006E7"/>
    <w:rsid w:val="00300C68"/>
    <w:rsid w:val="00302718"/>
    <w:rsid w:val="003059E8"/>
    <w:rsid w:val="0030660B"/>
    <w:rsid w:val="0031004E"/>
    <w:rsid w:val="003135E1"/>
    <w:rsid w:val="00313657"/>
    <w:rsid w:val="00321030"/>
    <w:rsid w:val="003218D4"/>
    <w:rsid w:val="003219F2"/>
    <w:rsid w:val="0032276D"/>
    <w:rsid w:val="0032298A"/>
    <w:rsid w:val="00325446"/>
    <w:rsid w:val="00325CF6"/>
    <w:rsid w:val="00326455"/>
    <w:rsid w:val="00326867"/>
    <w:rsid w:val="00327570"/>
    <w:rsid w:val="00330040"/>
    <w:rsid w:val="003321F2"/>
    <w:rsid w:val="00333713"/>
    <w:rsid w:val="003348C9"/>
    <w:rsid w:val="003350AF"/>
    <w:rsid w:val="00340774"/>
    <w:rsid w:val="003416CE"/>
    <w:rsid w:val="00343DC9"/>
    <w:rsid w:val="00350F56"/>
    <w:rsid w:val="00352C6F"/>
    <w:rsid w:val="00354E70"/>
    <w:rsid w:val="003626CB"/>
    <w:rsid w:val="0036395D"/>
    <w:rsid w:val="00363A3A"/>
    <w:rsid w:val="00364241"/>
    <w:rsid w:val="00365825"/>
    <w:rsid w:val="0036630C"/>
    <w:rsid w:val="00366317"/>
    <w:rsid w:val="0037393E"/>
    <w:rsid w:val="0037783F"/>
    <w:rsid w:val="003811B1"/>
    <w:rsid w:val="00383392"/>
    <w:rsid w:val="00386B6C"/>
    <w:rsid w:val="00387042"/>
    <w:rsid w:val="003875B6"/>
    <w:rsid w:val="00391EC0"/>
    <w:rsid w:val="00394975"/>
    <w:rsid w:val="00394BBA"/>
    <w:rsid w:val="00394CF3"/>
    <w:rsid w:val="00396E00"/>
    <w:rsid w:val="0039786E"/>
    <w:rsid w:val="003A55F8"/>
    <w:rsid w:val="003A62CB"/>
    <w:rsid w:val="003A7DCB"/>
    <w:rsid w:val="003B0A25"/>
    <w:rsid w:val="003B0C73"/>
    <w:rsid w:val="003B38A7"/>
    <w:rsid w:val="003B4B0E"/>
    <w:rsid w:val="003B634F"/>
    <w:rsid w:val="003B6681"/>
    <w:rsid w:val="003B77BD"/>
    <w:rsid w:val="003C5D0D"/>
    <w:rsid w:val="003C795B"/>
    <w:rsid w:val="003D1166"/>
    <w:rsid w:val="003D2899"/>
    <w:rsid w:val="003D3C68"/>
    <w:rsid w:val="003D42C6"/>
    <w:rsid w:val="003D58F1"/>
    <w:rsid w:val="003E0C9F"/>
    <w:rsid w:val="003E0CB1"/>
    <w:rsid w:val="003E1CEE"/>
    <w:rsid w:val="003E3D87"/>
    <w:rsid w:val="003E4C50"/>
    <w:rsid w:val="003E4C70"/>
    <w:rsid w:val="003E4EB1"/>
    <w:rsid w:val="003E65E1"/>
    <w:rsid w:val="003E743D"/>
    <w:rsid w:val="003F0E62"/>
    <w:rsid w:val="003F3DE3"/>
    <w:rsid w:val="003F55B6"/>
    <w:rsid w:val="00405273"/>
    <w:rsid w:val="004052D8"/>
    <w:rsid w:val="00405959"/>
    <w:rsid w:val="00414DBE"/>
    <w:rsid w:val="00415606"/>
    <w:rsid w:val="00417431"/>
    <w:rsid w:val="00421596"/>
    <w:rsid w:val="00424E57"/>
    <w:rsid w:val="0042503D"/>
    <w:rsid w:val="00425781"/>
    <w:rsid w:val="00425962"/>
    <w:rsid w:val="004323C2"/>
    <w:rsid w:val="00432795"/>
    <w:rsid w:val="00433AA1"/>
    <w:rsid w:val="00442270"/>
    <w:rsid w:val="00447C65"/>
    <w:rsid w:val="00447F80"/>
    <w:rsid w:val="00451501"/>
    <w:rsid w:val="00451CE6"/>
    <w:rsid w:val="004528D6"/>
    <w:rsid w:val="004533FD"/>
    <w:rsid w:val="00456350"/>
    <w:rsid w:val="00460B9A"/>
    <w:rsid w:val="00465DBB"/>
    <w:rsid w:val="004671DA"/>
    <w:rsid w:val="004672AC"/>
    <w:rsid w:val="00470902"/>
    <w:rsid w:val="00472A0F"/>
    <w:rsid w:val="00472F78"/>
    <w:rsid w:val="0047302F"/>
    <w:rsid w:val="00481AD1"/>
    <w:rsid w:val="004866FB"/>
    <w:rsid w:val="00487350"/>
    <w:rsid w:val="00490507"/>
    <w:rsid w:val="00490CAD"/>
    <w:rsid w:val="00491E29"/>
    <w:rsid w:val="004961BB"/>
    <w:rsid w:val="004979E1"/>
    <w:rsid w:val="004A07B6"/>
    <w:rsid w:val="004A0B8B"/>
    <w:rsid w:val="004A36BC"/>
    <w:rsid w:val="004A4F18"/>
    <w:rsid w:val="004A6CE9"/>
    <w:rsid w:val="004B15F0"/>
    <w:rsid w:val="004B4B2D"/>
    <w:rsid w:val="004B4F4F"/>
    <w:rsid w:val="004B573E"/>
    <w:rsid w:val="004C1C4D"/>
    <w:rsid w:val="004C22BB"/>
    <w:rsid w:val="004C2626"/>
    <w:rsid w:val="004C283F"/>
    <w:rsid w:val="004C4208"/>
    <w:rsid w:val="004C6D02"/>
    <w:rsid w:val="004D07A3"/>
    <w:rsid w:val="004D0F2F"/>
    <w:rsid w:val="004D3311"/>
    <w:rsid w:val="004D34CC"/>
    <w:rsid w:val="004E3926"/>
    <w:rsid w:val="004F243C"/>
    <w:rsid w:val="004F4F4A"/>
    <w:rsid w:val="004F589C"/>
    <w:rsid w:val="004F7221"/>
    <w:rsid w:val="004F793C"/>
    <w:rsid w:val="005001EC"/>
    <w:rsid w:val="005059F8"/>
    <w:rsid w:val="005107F5"/>
    <w:rsid w:val="00510A25"/>
    <w:rsid w:val="00511019"/>
    <w:rsid w:val="00511F5D"/>
    <w:rsid w:val="00513A7A"/>
    <w:rsid w:val="005149F9"/>
    <w:rsid w:val="00516099"/>
    <w:rsid w:val="0051670A"/>
    <w:rsid w:val="00516FCA"/>
    <w:rsid w:val="00520ADC"/>
    <w:rsid w:val="00520EBD"/>
    <w:rsid w:val="00522CA2"/>
    <w:rsid w:val="00522DCF"/>
    <w:rsid w:val="00522F1E"/>
    <w:rsid w:val="00530305"/>
    <w:rsid w:val="00530FB6"/>
    <w:rsid w:val="00531A89"/>
    <w:rsid w:val="00531F2A"/>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9034F"/>
    <w:rsid w:val="00591F1A"/>
    <w:rsid w:val="00592591"/>
    <w:rsid w:val="00594064"/>
    <w:rsid w:val="00594228"/>
    <w:rsid w:val="005A330B"/>
    <w:rsid w:val="005A3514"/>
    <w:rsid w:val="005A4493"/>
    <w:rsid w:val="005A536F"/>
    <w:rsid w:val="005A6BE8"/>
    <w:rsid w:val="005B2328"/>
    <w:rsid w:val="005B458D"/>
    <w:rsid w:val="005B483D"/>
    <w:rsid w:val="005B5AD5"/>
    <w:rsid w:val="005B6A8A"/>
    <w:rsid w:val="005C11B6"/>
    <w:rsid w:val="005C14AC"/>
    <w:rsid w:val="005C38AB"/>
    <w:rsid w:val="005C4C7C"/>
    <w:rsid w:val="005C5693"/>
    <w:rsid w:val="005D3EB9"/>
    <w:rsid w:val="005D5DD6"/>
    <w:rsid w:val="005D7DDA"/>
    <w:rsid w:val="005E2B30"/>
    <w:rsid w:val="005E3610"/>
    <w:rsid w:val="005E6D70"/>
    <w:rsid w:val="005F0649"/>
    <w:rsid w:val="005F0A9A"/>
    <w:rsid w:val="00601EEA"/>
    <w:rsid w:val="00602474"/>
    <w:rsid w:val="00602D56"/>
    <w:rsid w:val="006031E5"/>
    <w:rsid w:val="00604170"/>
    <w:rsid w:val="006109CF"/>
    <w:rsid w:val="0061106D"/>
    <w:rsid w:val="00611480"/>
    <w:rsid w:val="00617AC0"/>
    <w:rsid w:val="006201ED"/>
    <w:rsid w:val="006208E7"/>
    <w:rsid w:val="0062134E"/>
    <w:rsid w:val="00622095"/>
    <w:rsid w:val="006225AE"/>
    <w:rsid w:val="006226CB"/>
    <w:rsid w:val="00631B3A"/>
    <w:rsid w:val="0063358D"/>
    <w:rsid w:val="006377F0"/>
    <w:rsid w:val="00637DDF"/>
    <w:rsid w:val="0064055B"/>
    <w:rsid w:val="00641054"/>
    <w:rsid w:val="006411E8"/>
    <w:rsid w:val="00641CBE"/>
    <w:rsid w:val="00642CD8"/>
    <w:rsid w:val="006461DC"/>
    <w:rsid w:val="00650336"/>
    <w:rsid w:val="00651040"/>
    <w:rsid w:val="00652817"/>
    <w:rsid w:val="00654564"/>
    <w:rsid w:val="006549D3"/>
    <w:rsid w:val="00656055"/>
    <w:rsid w:val="00656D23"/>
    <w:rsid w:val="006573DF"/>
    <w:rsid w:val="00657E34"/>
    <w:rsid w:val="00663E2A"/>
    <w:rsid w:val="00667914"/>
    <w:rsid w:val="00671323"/>
    <w:rsid w:val="00675165"/>
    <w:rsid w:val="00675B77"/>
    <w:rsid w:val="006803D3"/>
    <w:rsid w:val="006839B7"/>
    <w:rsid w:val="00684B24"/>
    <w:rsid w:val="00690476"/>
    <w:rsid w:val="00690753"/>
    <w:rsid w:val="00692DD4"/>
    <w:rsid w:val="00696A7C"/>
    <w:rsid w:val="00696E0F"/>
    <w:rsid w:val="00697D1D"/>
    <w:rsid w:val="006A3CC4"/>
    <w:rsid w:val="006A4027"/>
    <w:rsid w:val="006A449F"/>
    <w:rsid w:val="006A567C"/>
    <w:rsid w:val="006A7810"/>
    <w:rsid w:val="006B0C6D"/>
    <w:rsid w:val="006B1F53"/>
    <w:rsid w:val="006B21CE"/>
    <w:rsid w:val="006B42B3"/>
    <w:rsid w:val="006B73CA"/>
    <w:rsid w:val="006C210D"/>
    <w:rsid w:val="006C2D30"/>
    <w:rsid w:val="006C4F7E"/>
    <w:rsid w:val="006C7317"/>
    <w:rsid w:val="006C7B81"/>
    <w:rsid w:val="006D4231"/>
    <w:rsid w:val="006D59AC"/>
    <w:rsid w:val="006D5E1C"/>
    <w:rsid w:val="006D7BB1"/>
    <w:rsid w:val="006E0B5B"/>
    <w:rsid w:val="006E0BEE"/>
    <w:rsid w:val="006E1B1E"/>
    <w:rsid w:val="006E1B23"/>
    <w:rsid w:val="006E286D"/>
    <w:rsid w:val="006E2DAF"/>
    <w:rsid w:val="006E349B"/>
    <w:rsid w:val="006F4002"/>
    <w:rsid w:val="006F5DAD"/>
    <w:rsid w:val="0070208A"/>
    <w:rsid w:val="0070294D"/>
    <w:rsid w:val="0071029A"/>
    <w:rsid w:val="00710F67"/>
    <w:rsid w:val="00713EFB"/>
    <w:rsid w:val="00716937"/>
    <w:rsid w:val="00717052"/>
    <w:rsid w:val="00717060"/>
    <w:rsid w:val="0072192C"/>
    <w:rsid w:val="007234A8"/>
    <w:rsid w:val="00724DE9"/>
    <w:rsid w:val="00726750"/>
    <w:rsid w:val="00730B2B"/>
    <w:rsid w:val="00732D70"/>
    <w:rsid w:val="0073587D"/>
    <w:rsid w:val="00735E90"/>
    <w:rsid w:val="00736579"/>
    <w:rsid w:val="00737491"/>
    <w:rsid w:val="007423F7"/>
    <w:rsid w:val="007426D8"/>
    <w:rsid w:val="00744ED3"/>
    <w:rsid w:val="00745B0F"/>
    <w:rsid w:val="007468E3"/>
    <w:rsid w:val="00753FFD"/>
    <w:rsid w:val="00756E46"/>
    <w:rsid w:val="00757FB9"/>
    <w:rsid w:val="00760CD7"/>
    <w:rsid w:val="0076207A"/>
    <w:rsid w:val="00762F05"/>
    <w:rsid w:val="00770A24"/>
    <w:rsid w:val="00770CBB"/>
    <w:rsid w:val="007712F3"/>
    <w:rsid w:val="00772764"/>
    <w:rsid w:val="0077327C"/>
    <w:rsid w:val="0077399D"/>
    <w:rsid w:val="00781806"/>
    <w:rsid w:val="00782BD5"/>
    <w:rsid w:val="00784105"/>
    <w:rsid w:val="00784BFA"/>
    <w:rsid w:val="00785E83"/>
    <w:rsid w:val="007871E4"/>
    <w:rsid w:val="00787EDF"/>
    <w:rsid w:val="00795732"/>
    <w:rsid w:val="00797100"/>
    <w:rsid w:val="007A0FF7"/>
    <w:rsid w:val="007A3424"/>
    <w:rsid w:val="007A3EA8"/>
    <w:rsid w:val="007A5DF9"/>
    <w:rsid w:val="007A796C"/>
    <w:rsid w:val="007A7D0A"/>
    <w:rsid w:val="007A7DEC"/>
    <w:rsid w:val="007B25C2"/>
    <w:rsid w:val="007B3106"/>
    <w:rsid w:val="007B5C1B"/>
    <w:rsid w:val="007B6105"/>
    <w:rsid w:val="007B6838"/>
    <w:rsid w:val="007C126F"/>
    <w:rsid w:val="007C2D50"/>
    <w:rsid w:val="007C580E"/>
    <w:rsid w:val="007D74EE"/>
    <w:rsid w:val="007E1CBA"/>
    <w:rsid w:val="007E1FED"/>
    <w:rsid w:val="007E778D"/>
    <w:rsid w:val="007F0E6B"/>
    <w:rsid w:val="007F0F0E"/>
    <w:rsid w:val="007F158D"/>
    <w:rsid w:val="007F3C2F"/>
    <w:rsid w:val="007F3C40"/>
    <w:rsid w:val="007F4050"/>
    <w:rsid w:val="007F4E7D"/>
    <w:rsid w:val="007F6AD0"/>
    <w:rsid w:val="00800270"/>
    <w:rsid w:val="00802E4B"/>
    <w:rsid w:val="00806CFD"/>
    <w:rsid w:val="00807CBD"/>
    <w:rsid w:val="00811B44"/>
    <w:rsid w:val="008132C9"/>
    <w:rsid w:val="00813CEC"/>
    <w:rsid w:val="00814750"/>
    <w:rsid w:val="00814E3B"/>
    <w:rsid w:val="008150B9"/>
    <w:rsid w:val="00817D25"/>
    <w:rsid w:val="0082179E"/>
    <w:rsid w:val="00821C3E"/>
    <w:rsid w:val="008226A3"/>
    <w:rsid w:val="00825E86"/>
    <w:rsid w:val="00831048"/>
    <w:rsid w:val="008321DE"/>
    <w:rsid w:val="008323A6"/>
    <w:rsid w:val="008334E2"/>
    <w:rsid w:val="00835168"/>
    <w:rsid w:val="00835636"/>
    <w:rsid w:val="00836C7F"/>
    <w:rsid w:val="00841E4A"/>
    <w:rsid w:val="00843752"/>
    <w:rsid w:val="00843FA3"/>
    <w:rsid w:val="008441C9"/>
    <w:rsid w:val="00846066"/>
    <w:rsid w:val="00846AEA"/>
    <w:rsid w:val="00846DAF"/>
    <w:rsid w:val="00850008"/>
    <w:rsid w:val="00853B6D"/>
    <w:rsid w:val="008544A3"/>
    <w:rsid w:val="008566C1"/>
    <w:rsid w:val="008572A8"/>
    <w:rsid w:val="00863696"/>
    <w:rsid w:val="00867701"/>
    <w:rsid w:val="008707EB"/>
    <w:rsid w:val="008709D1"/>
    <w:rsid w:val="00871AAD"/>
    <w:rsid w:val="00874FCD"/>
    <w:rsid w:val="00877C4D"/>
    <w:rsid w:val="00880E51"/>
    <w:rsid w:val="00882868"/>
    <w:rsid w:val="0088444B"/>
    <w:rsid w:val="00884BA7"/>
    <w:rsid w:val="00885F34"/>
    <w:rsid w:val="00886A5B"/>
    <w:rsid w:val="00886C3A"/>
    <w:rsid w:val="00887C6E"/>
    <w:rsid w:val="00892B1C"/>
    <w:rsid w:val="0089452B"/>
    <w:rsid w:val="00894832"/>
    <w:rsid w:val="008A1F5D"/>
    <w:rsid w:val="008A2F38"/>
    <w:rsid w:val="008A301D"/>
    <w:rsid w:val="008A426C"/>
    <w:rsid w:val="008A4F1C"/>
    <w:rsid w:val="008A6E38"/>
    <w:rsid w:val="008B105C"/>
    <w:rsid w:val="008B1FD7"/>
    <w:rsid w:val="008B2454"/>
    <w:rsid w:val="008B43A1"/>
    <w:rsid w:val="008B4F66"/>
    <w:rsid w:val="008B516F"/>
    <w:rsid w:val="008B63B8"/>
    <w:rsid w:val="008B79D7"/>
    <w:rsid w:val="008C1706"/>
    <w:rsid w:val="008C21E6"/>
    <w:rsid w:val="008C31A8"/>
    <w:rsid w:val="008C335A"/>
    <w:rsid w:val="008C3748"/>
    <w:rsid w:val="008C4122"/>
    <w:rsid w:val="008C4E81"/>
    <w:rsid w:val="008C65BD"/>
    <w:rsid w:val="008C737B"/>
    <w:rsid w:val="008D321F"/>
    <w:rsid w:val="008D4B18"/>
    <w:rsid w:val="008D4FF6"/>
    <w:rsid w:val="008D5152"/>
    <w:rsid w:val="008D5D96"/>
    <w:rsid w:val="008D6E36"/>
    <w:rsid w:val="008D6F3B"/>
    <w:rsid w:val="008E0C08"/>
    <w:rsid w:val="008E11C5"/>
    <w:rsid w:val="008E50BB"/>
    <w:rsid w:val="008E513E"/>
    <w:rsid w:val="008E5502"/>
    <w:rsid w:val="008E697B"/>
    <w:rsid w:val="008F0D20"/>
    <w:rsid w:val="008F279B"/>
    <w:rsid w:val="008F44ED"/>
    <w:rsid w:val="008F4954"/>
    <w:rsid w:val="008F6EFB"/>
    <w:rsid w:val="00900BA3"/>
    <w:rsid w:val="009028CB"/>
    <w:rsid w:val="00902AC0"/>
    <w:rsid w:val="00903111"/>
    <w:rsid w:val="00910863"/>
    <w:rsid w:val="0091448B"/>
    <w:rsid w:val="00914EC4"/>
    <w:rsid w:val="00915BF8"/>
    <w:rsid w:val="00917036"/>
    <w:rsid w:val="00920951"/>
    <w:rsid w:val="00920B7D"/>
    <w:rsid w:val="00920F5E"/>
    <w:rsid w:val="009215EC"/>
    <w:rsid w:val="0092413A"/>
    <w:rsid w:val="009242B9"/>
    <w:rsid w:val="00925B14"/>
    <w:rsid w:val="00926AF1"/>
    <w:rsid w:val="0092715A"/>
    <w:rsid w:val="0093138C"/>
    <w:rsid w:val="00932A59"/>
    <w:rsid w:val="00932C3B"/>
    <w:rsid w:val="009337DD"/>
    <w:rsid w:val="009343D3"/>
    <w:rsid w:val="00934781"/>
    <w:rsid w:val="00935FA0"/>
    <w:rsid w:val="00937409"/>
    <w:rsid w:val="00937EE0"/>
    <w:rsid w:val="00942AF1"/>
    <w:rsid w:val="00942BC2"/>
    <w:rsid w:val="0094386B"/>
    <w:rsid w:val="00944389"/>
    <w:rsid w:val="009459FC"/>
    <w:rsid w:val="00945A94"/>
    <w:rsid w:val="00947954"/>
    <w:rsid w:val="00947B62"/>
    <w:rsid w:val="00954499"/>
    <w:rsid w:val="00954D99"/>
    <w:rsid w:val="009554C0"/>
    <w:rsid w:val="00956265"/>
    <w:rsid w:val="00956464"/>
    <w:rsid w:val="00957BD8"/>
    <w:rsid w:val="00961639"/>
    <w:rsid w:val="00962629"/>
    <w:rsid w:val="009632D9"/>
    <w:rsid w:val="0096401E"/>
    <w:rsid w:val="00964D82"/>
    <w:rsid w:val="009652E6"/>
    <w:rsid w:val="009677B6"/>
    <w:rsid w:val="00967ED5"/>
    <w:rsid w:val="00971041"/>
    <w:rsid w:val="00980C35"/>
    <w:rsid w:val="00981DEE"/>
    <w:rsid w:val="009837B1"/>
    <w:rsid w:val="0098497E"/>
    <w:rsid w:val="00991C0D"/>
    <w:rsid w:val="00994E2D"/>
    <w:rsid w:val="00996E68"/>
    <w:rsid w:val="009974F8"/>
    <w:rsid w:val="009A0181"/>
    <w:rsid w:val="009A0AA5"/>
    <w:rsid w:val="009A1BDA"/>
    <w:rsid w:val="009A2CC4"/>
    <w:rsid w:val="009A45BC"/>
    <w:rsid w:val="009A49D9"/>
    <w:rsid w:val="009A71EE"/>
    <w:rsid w:val="009A75A9"/>
    <w:rsid w:val="009B36E3"/>
    <w:rsid w:val="009B370C"/>
    <w:rsid w:val="009B4D52"/>
    <w:rsid w:val="009C0024"/>
    <w:rsid w:val="009C0A9F"/>
    <w:rsid w:val="009C1250"/>
    <w:rsid w:val="009C183C"/>
    <w:rsid w:val="009C33F5"/>
    <w:rsid w:val="009C449A"/>
    <w:rsid w:val="009C4C42"/>
    <w:rsid w:val="009C5341"/>
    <w:rsid w:val="009C760E"/>
    <w:rsid w:val="009D070D"/>
    <w:rsid w:val="009D2B1C"/>
    <w:rsid w:val="009D306C"/>
    <w:rsid w:val="009D3EDF"/>
    <w:rsid w:val="009D4341"/>
    <w:rsid w:val="009D5A55"/>
    <w:rsid w:val="009D634A"/>
    <w:rsid w:val="009D6A96"/>
    <w:rsid w:val="009D6EAC"/>
    <w:rsid w:val="009D78DE"/>
    <w:rsid w:val="009E0066"/>
    <w:rsid w:val="009E21B7"/>
    <w:rsid w:val="009E4733"/>
    <w:rsid w:val="009E6314"/>
    <w:rsid w:val="009E65C2"/>
    <w:rsid w:val="009E7327"/>
    <w:rsid w:val="009E7619"/>
    <w:rsid w:val="009F034D"/>
    <w:rsid w:val="009F1B86"/>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7B2"/>
    <w:rsid w:val="00A3080D"/>
    <w:rsid w:val="00A31E85"/>
    <w:rsid w:val="00A32770"/>
    <w:rsid w:val="00A33695"/>
    <w:rsid w:val="00A33840"/>
    <w:rsid w:val="00A33DBA"/>
    <w:rsid w:val="00A408EA"/>
    <w:rsid w:val="00A409DD"/>
    <w:rsid w:val="00A43A8C"/>
    <w:rsid w:val="00A47041"/>
    <w:rsid w:val="00A47E62"/>
    <w:rsid w:val="00A50D4E"/>
    <w:rsid w:val="00A5127C"/>
    <w:rsid w:val="00A55927"/>
    <w:rsid w:val="00A56F0B"/>
    <w:rsid w:val="00A62A44"/>
    <w:rsid w:val="00A63984"/>
    <w:rsid w:val="00A64688"/>
    <w:rsid w:val="00A64CC1"/>
    <w:rsid w:val="00A67398"/>
    <w:rsid w:val="00A71014"/>
    <w:rsid w:val="00A71B89"/>
    <w:rsid w:val="00A7307E"/>
    <w:rsid w:val="00A742E7"/>
    <w:rsid w:val="00A75E7D"/>
    <w:rsid w:val="00A76229"/>
    <w:rsid w:val="00A80129"/>
    <w:rsid w:val="00A80EC4"/>
    <w:rsid w:val="00A814A4"/>
    <w:rsid w:val="00A834FF"/>
    <w:rsid w:val="00A850B0"/>
    <w:rsid w:val="00A8727C"/>
    <w:rsid w:val="00A87D18"/>
    <w:rsid w:val="00A913E7"/>
    <w:rsid w:val="00A9462E"/>
    <w:rsid w:val="00A95E6D"/>
    <w:rsid w:val="00AA0728"/>
    <w:rsid w:val="00AA1B74"/>
    <w:rsid w:val="00AA3323"/>
    <w:rsid w:val="00AA76AE"/>
    <w:rsid w:val="00AB0570"/>
    <w:rsid w:val="00AB0E9A"/>
    <w:rsid w:val="00AB1B90"/>
    <w:rsid w:val="00AB2899"/>
    <w:rsid w:val="00AB4059"/>
    <w:rsid w:val="00AB4388"/>
    <w:rsid w:val="00AB5928"/>
    <w:rsid w:val="00AB5CBE"/>
    <w:rsid w:val="00AC08F6"/>
    <w:rsid w:val="00AC0E9B"/>
    <w:rsid w:val="00AC24DC"/>
    <w:rsid w:val="00AC2986"/>
    <w:rsid w:val="00AC2E98"/>
    <w:rsid w:val="00AC729D"/>
    <w:rsid w:val="00AD491B"/>
    <w:rsid w:val="00AE062D"/>
    <w:rsid w:val="00AE1BFE"/>
    <w:rsid w:val="00AE216F"/>
    <w:rsid w:val="00AE22F5"/>
    <w:rsid w:val="00AE3BC9"/>
    <w:rsid w:val="00AE3ED1"/>
    <w:rsid w:val="00AE476B"/>
    <w:rsid w:val="00AE50AD"/>
    <w:rsid w:val="00AE6843"/>
    <w:rsid w:val="00AF5B56"/>
    <w:rsid w:val="00B0026F"/>
    <w:rsid w:val="00B02031"/>
    <w:rsid w:val="00B02322"/>
    <w:rsid w:val="00B028EF"/>
    <w:rsid w:val="00B06F0A"/>
    <w:rsid w:val="00B10F0A"/>
    <w:rsid w:val="00B12B07"/>
    <w:rsid w:val="00B13675"/>
    <w:rsid w:val="00B14367"/>
    <w:rsid w:val="00B17C06"/>
    <w:rsid w:val="00B21BF4"/>
    <w:rsid w:val="00B236CE"/>
    <w:rsid w:val="00B34BEF"/>
    <w:rsid w:val="00B36058"/>
    <w:rsid w:val="00B36BCD"/>
    <w:rsid w:val="00B406F6"/>
    <w:rsid w:val="00B42B6E"/>
    <w:rsid w:val="00B45707"/>
    <w:rsid w:val="00B4636D"/>
    <w:rsid w:val="00B50DB1"/>
    <w:rsid w:val="00B53A67"/>
    <w:rsid w:val="00B53E16"/>
    <w:rsid w:val="00B5683E"/>
    <w:rsid w:val="00B56DD4"/>
    <w:rsid w:val="00B57979"/>
    <w:rsid w:val="00B57C56"/>
    <w:rsid w:val="00B57CAF"/>
    <w:rsid w:val="00B57F4C"/>
    <w:rsid w:val="00B60DE9"/>
    <w:rsid w:val="00B6681B"/>
    <w:rsid w:val="00B71EC4"/>
    <w:rsid w:val="00B72437"/>
    <w:rsid w:val="00B72D38"/>
    <w:rsid w:val="00B73C02"/>
    <w:rsid w:val="00B74433"/>
    <w:rsid w:val="00B74BCA"/>
    <w:rsid w:val="00B751C6"/>
    <w:rsid w:val="00B752F1"/>
    <w:rsid w:val="00B76843"/>
    <w:rsid w:val="00B77473"/>
    <w:rsid w:val="00B801DA"/>
    <w:rsid w:val="00B80FC5"/>
    <w:rsid w:val="00B81CF2"/>
    <w:rsid w:val="00B81DFC"/>
    <w:rsid w:val="00B83345"/>
    <w:rsid w:val="00B83EC5"/>
    <w:rsid w:val="00B86F4F"/>
    <w:rsid w:val="00B90034"/>
    <w:rsid w:val="00B913A7"/>
    <w:rsid w:val="00B941A5"/>
    <w:rsid w:val="00B9555A"/>
    <w:rsid w:val="00BA017E"/>
    <w:rsid w:val="00BA0BBC"/>
    <w:rsid w:val="00BA479D"/>
    <w:rsid w:val="00BA613A"/>
    <w:rsid w:val="00BB23DE"/>
    <w:rsid w:val="00BB4615"/>
    <w:rsid w:val="00BC0F0D"/>
    <w:rsid w:val="00BC2003"/>
    <w:rsid w:val="00BC35EA"/>
    <w:rsid w:val="00BC3F45"/>
    <w:rsid w:val="00BC5A58"/>
    <w:rsid w:val="00BD1DB6"/>
    <w:rsid w:val="00BD33A6"/>
    <w:rsid w:val="00BD3C60"/>
    <w:rsid w:val="00BD5ED1"/>
    <w:rsid w:val="00BD6097"/>
    <w:rsid w:val="00BD6692"/>
    <w:rsid w:val="00BD7FC9"/>
    <w:rsid w:val="00BE1183"/>
    <w:rsid w:val="00BE21CC"/>
    <w:rsid w:val="00BE3503"/>
    <w:rsid w:val="00BE57E4"/>
    <w:rsid w:val="00BF09E5"/>
    <w:rsid w:val="00BF2D73"/>
    <w:rsid w:val="00BF3B3C"/>
    <w:rsid w:val="00BF4841"/>
    <w:rsid w:val="00BF5930"/>
    <w:rsid w:val="00C029A5"/>
    <w:rsid w:val="00C02BC4"/>
    <w:rsid w:val="00C03BCA"/>
    <w:rsid w:val="00C05A82"/>
    <w:rsid w:val="00C10824"/>
    <w:rsid w:val="00C143F0"/>
    <w:rsid w:val="00C151AC"/>
    <w:rsid w:val="00C15316"/>
    <w:rsid w:val="00C15390"/>
    <w:rsid w:val="00C16288"/>
    <w:rsid w:val="00C162CC"/>
    <w:rsid w:val="00C1787A"/>
    <w:rsid w:val="00C22D70"/>
    <w:rsid w:val="00C25D17"/>
    <w:rsid w:val="00C26F63"/>
    <w:rsid w:val="00C27319"/>
    <w:rsid w:val="00C30A1A"/>
    <w:rsid w:val="00C34421"/>
    <w:rsid w:val="00C37EBE"/>
    <w:rsid w:val="00C4069A"/>
    <w:rsid w:val="00C428F9"/>
    <w:rsid w:val="00C43082"/>
    <w:rsid w:val="00C4517D"/>
    <w:rsid w:val="00C45AF1"/>
    <w:rsid w:val="00C460E7"/>
    <w:rsid w:val="00C479C2"/>
    <w:rsid w:val="00C51A09"/>
    <w:rsid w:val="00C53823"/>
    <w:rsid w:val="00C5556E"/>
    <w:rsid w:val="00C566BC"/>
    <w:rsid w:val="00C56C40"/>
    <w:rsid w:val="00C620F1"/>
    <w:rsid w:val="00C62BE1"/>
    <w:rsid w:val="00C650F9"/>
    <w:rsid w:val="00C700F5"/>
    <w:rsid w:val="00C71064"/>
    <w:rsid w:val="00C74127"/>
    <w:rsid w:val="00C7650B"/>
    <w:rsid w:val="00C7747C"/>
    <w:rsid w:val="00C836E1"/>
    <w:rsid w:val="00C85A16"/>
    <w:rsid w:val="00C85B55"/>
    <w:rsid w:val="00C85F21"/>
    <w:rsid w:val="00C868B1"/>
    <w:rsid w:val="00C91973"/>
    <w:rsid w:val="00C92242"/>
    <w:rsid w:val="00C924A3"/>
    <w:rsid w:val="00C94ABC"/>
    <w:rsid w:val="00C9525E"/>
    <w:rsid w:val="00C96500"/>
    <w:rsid w:val="00CA12D4"/>
    <w:rsid w:val="00CA4D95"/>
    <w:rsid w:val="00CA6E44"/>
    <w:rsid w:val="00CB06A1"/>
    <w:rsid w:val="00CB1B68"/>
    <w:rsid w:val="00CB1C1E"/>
    <w:rsid w:val="00CB3ECF"/>
    <w:rsid w:val="00CB5342"/>
    <w:rsid w:val="00CC0550"/>
    <w:rsid w:val="00CC25DA"/>
    <w:rsid w:val="00CC274F"/>
    <w:rsid w:val="00CC34A1"/>
    <w:rsid w:val="00CC35AE"/>
    <w:rsid w:val="00CC3E43"/>
    <w:rsid w:val="00CC68D1"/>
    <w:rsid w:val="00CD0A2C"/>
    <w:rsid w:val="00CD156D"/>
    <w:rsid w:val="00CD5AFE"/>
    <w:rsid w:val="00CD7B14"/>
    <w:rsid w:val="00CD7BD0"/>
    <w:rsid w:val="00CE019C"/>
    <w:rsid w:val="00CE0408"/>
    <w:rsid w:val="00CE14DE"/>
    <w:rsid w:val="00CE42AC"/>
    <w:rsid w:val="00CE6A7E"/>
    <w:rsid w:val="00CF0CA8"/>
    <w:rsid w:val="00CF214A"/>
    <w:rsid w:val="00CF39EC"/>
    <w:rsid w:val="00CF4564"/>
    <w:rsid w:val="00D00CE2"/>
    <w:rsid w:val="00D03FF9"/>
    <w:rsid w:val="00D04825"/>
    <w:rsid w:val="00D07DEC"/>
    <w:rsid w:val="00D12059"/>
    <w:rsid w:val="00D12E3E"/>
    <w:rsid w:val="00D13931"/>
    <w:rsid w:val="00D14360"/>
    <w:rsid w:val="00D21860"/>
    <w:rsid w:val="00D21FDD"/>
    <w:rsid w:val="00D22B6E"/>
    <w:rsid w:val="00D237C4"/>
    <w:rsid w:val="00D25BD0"/>
    <w:rsid w:val="00D311BD"/>
    <w:rsid w:val="00D31557"/>
    <w:rsid w:val="00D317E1"/>
    <w:rsid w:val="00D368EE"/>
    <w:rsid w:val="00D37069"/>
    <w:rsid w:val="00D41390"/>
    <w:rsid w:val="00D41E1D"/>
    <w:rsid w:val="00D50679"/>
    <w:rsid w:val="00D53429"/>
    <w:rsid w:val="00D55058"/>
    <w:rsid w:val="00D565E0"/>
    <w:rsid w:val="00D62B3A"/>
    <w:rsid w:val="00D632A2"/>
    <w:rsid w:val="00D63524"/>
    <w:rsid w:val="00D636D5"/>
    <w:rsid w:val="00D66B17"/>
    <w:rsid w:val="00D739DC"/>
    <w:rsid w:val="00D74347"/>
    <w:rsid w:val="00D74F49"/>
    <w:rsid w:val="00D760E6"/>
    <w:rsid w:val="00D76295"/>
    <w:rsid w:val="00D80B89"/>
    <w:rsid w:val="00D80E98"/>
    <w:rsid w:val="00D84332"/>
    <w:rsid w:val="00D8469E"/>
    <w:rsid w:val="00D84899"/>
    <w:rsid w:val="00D86FB3"/>
    <w:rsid w:val="00D877CB"/>
    <w:rsid w:val="00D90F07"/>
    <w:rsid w:val="00D92F2E"/>
    <w:rsid w:val="00D94092"/>
    <w:rsid w:val="00D96124"/>
    <w:rsid w:val="00D97C48"/>
    <w:rsid w:val="00DA2863"/>
    <w:rsid w:val="00DA3850"/>
    <w:rsid w:val="00DA420C"/>
    <w:rsid w:val="00DA486D"/>
    <w:rsid w:val="00DA518D"/>
    <w:rsid w:val="00DB0194"/>
    <w:rsid w:val="00DB11EF"/>
    <w:rsid w:val="00DB2982"/>
    <w:rsid w:val="00DB368D"/>
    <w:rsid w:val="00DB3CCE"/>
    <w:rsid w:val="00DB6632"/>
    <w:rsid w:val="00DB6C67"/>
    <w:rsid w:val="00DB6FF3"/>
    <w:rsid w:val="00DC1BB5"/>
    <w:rsid w:val="00DC2CF4"/>
    <w:rsid w:val="00DC7721"/>
    <w:rsid w:val="00DD08C9"/>
    <w:rsid w:val="00DD4D1E"/>
    <w:rsid w:val="00DD534F"/>
    <w:rsid w:val="00DD5730"/>
    <w:rsid w:val="00DD6C57"/>
    <w:rsid w:val="00DE081C"/>
    <w:rsid w:val="00DE0967"/>
    <w:rsid w:val="00DE1A9A"/>
    <w:rsid w:val="00DE3687"/>
    <w:rsid w:val="00DE6416"/>
    <w:rsid w:val="00DF183E"/>
    <w:rsid w:val="00DF24C5"/>
    <w:rsid w:val="00DF300F"/>
    <w:rsid w:val="00DF44FF"/>
    <w:rsid w:val="00DF4ECD"/>
    <w:rsid w:val="00DF68C8"/>
    <w:rsid w:val="00E00E10"/>
    <w:rsid w:val="00E016F2"/>
    <w:rsid w:val="00E01C66"/>
    <w:rsid w:val="00E03947"/>
    <w:rsid w:val="00E046F4"/>
    <w:rsid w:val="00E049F3"/>
    <w:rsid w:val="00E06CD4"/>
    <w:rsid w:val="00E11F6A"/>
    <w:rsid w:val="00E128A8"/>
    <w:rsid w:val="00E148FD"/>
    <w:rsid w:val="00E14D91"/>
    <w:rsid w:val="00E1557C"/>
    <w:rsid w:val="00E17A6E"/>
    <w:rsid w:val="00E25992"/>
    <w:rsid w:val="00E27B55"/>
    <w:rsid w:val="00E309E8"/>
    <w:rsid w:val="00E33FA3"/>
    <w:rsid w:val="00E34346"/>
    <w:rsid w:val="00E37841"/>
    <w:rsid w:val="00E40444"/>
    <w:rsid w:val="00E418A6"/>
    <w:rsid w:val="00E435DF"/>
    <w:rsid w:val="00E43DD2"/>
    <w:rsid w:val="00E4700D"/>
    <w:rsid w:val="00E47965"/>
    <w:rsid w:val="00E5535E"/>
    <w:rsid w:val="00E559FA"/>
    <w:rsid w:val="00E57047"/>
    <w:rsid w:val="00E570CC"/>
    <w:rsid w:val="00E57BDA"/>
    <w:rsid w:val="00E57F56"/>
    <w:rsid w:val="00E605EA"/>
    <w:rsid w:val="00E60F9F"/>
    <w:rsid w:val="00E61A7C"/>
    <w:rsid w:val="00E61F8F"/>
    <w:rsid w:val="00E62ADD"/>
    <w:rsid w:val="00E630AF"/>
    <w:rsid w:val="00E644C2"/>
    <w:rsid w:val="00E653BD"/>
    <w:rsid w:val="00E6598B"/>
    <w:rsid w:val="00E65B5D"/>
    <w:rsid w:val="00E65E00"/>
    <w:rsid w:val="00E66027"/>
    <w:rsid w:val="00E729AE"/>
    <w:rsid w:val="00E74525"/>
    <w:rsid w:val="00E7457D"/>
    <w:rsid w:val="00E759D7"/>
    <w:rsid w:val="00E775EA"/>
    <w:rsid w:val="00E83281"/>
    <w:rsid w:val="00E87ECF"/>
    <w:rsid w:val="00E91076"/>
    <w:rsid w:val="00E926FA"/>
    <w:rsid w:val="00E943E5"/>
    <w:rsid w:val="00E9585B"/>
    <w:rsid w:val="00E9683C"/>
    <w:rsid w:val="00EA2809"/>
    <w:rsid w:val="00EA3790"/>
    <w:rsid w:val="00EA41E9"/>
    <w:rsid w:val="00EA5B58"/>
    <w:rsid w:val="00EA5E03"/>
    <w:rsid w:val="00EB00CD"/>
    <w:rsid w:val="00EB10CE"/>
    <w:rsid w:val="00EB1E4E"/>
    <w:rsid w:val="00EB2029"/>
    <w:rsid w:val="00EB3E0F"/>
    <w:rsid w:val="00EB7D48"/>
    <w:rsid w:val="00EC088D"/>
    <w:rsid w:val="00EC25A8"/>
    <w:rsid w:val="00EC3212"/>
    <w:rsid w:val="00EC34EA"/>
    <w:rsid w:val="00EC6427"/>
    <w:rsid w:val="00ED1286"/>
    <w:rsid w:val="00ED1816"/>
    <w:rsid w:val="00ED3B0D"/>
    <w:rsid w:val="00ED55BB"/>
    <w:rsid w:val="00ED6001"/>
    <w:rsid w:val="00EE1511"/>
    <w:rsid w:val="00EE1BF5"/>
    <w:rsid w:val="00EE1F4D"/>
    <w:rsid w:val="00EE38E9"/>
    <w:rsid w:val="00EE3ACD"/>
    <w:rsid w:val="00EE4881"/>
    <w:rsid w:val="00EE5E69"/>
    <w:rsid w:val="00EF26E7"/>
    <w:rsid w:val="00EF2F73"/>
    <w:rsid w:val="00EF3144"/>
    <w:rsid w:val="00EF4A1C"/>
    <w:rsid w:val="00EF750C"/>
    <w:rsid w:val="00F02F3F"/>
    <w:rsid w:val="00F04418"/>
    <w:rsid w:val="00F0622E"/>
    <w:rsid w:val="00F07D42"/>
    <w:rsid w:val="00F1303C"/>
    <w:rsid w:val="00F134C8"/>
    <w:rsid w:val="00F16533"/>
    <w:rsid w:val="00F171D4"/>
    <w:rsid w:val="00F17B22"/>
    <w:rsid w:val="00F2006C"/>
    <w:rsid w:val="00F2084D"/>
    <w:rsid w:val="00F22685"/>
    <w:rsid w:val="00F246ED"/>
    <w:rsid w:val="00F24CF7"/>
    <w:rsid w:val="00F25BB4"/>
    <w:rsid w:val="00F32452"/>
    <w:rsid w:val="00F32701"/>
    <w:rsid w:val="00F33217"/>
    <w:rsid w:val="00F33996"/>
    <w:rsid w:val="00F376F6"/>
    <w:rsid w:val="00F40757"/>
    <w:rsid w:val="00F42317"/>
    <w:rsid w:val="00F42371"/>
    <w:rsid w:val="00F43393"/>
    <w:rsid w:val="00F44F66"/>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D0B"/>
    <w:rsid w:val="00F757F1"/>
    <w:rsid w:val="00F75B76"/>
    <w:rsid w:val="00F7670E"/>
    <w:rsid w:val="00F9199C"/>
    <w:rsid w:val="00FA0633"/>
    <w:rsid w:val="00FA09E3"/>
    <w:rsid w:val="00FA343B"/>
    <w:rsid w:val="00FA3B79"/>
    <w:rsid w:val="00FB057B"/>
    <w:rsid w:val="00FB3259"/>
    <w:rsid w:val="00FB42EC"/>
    <w:rsid w:val="00FB6CC3"/>
    <w:rsid w:val="00FB7F5C"/>
    <w:rsid w:val="00FB7FFB"/>
    <w:rsid w:val="00FC0C4B"/>
    <w:rsid w:val="00FC150C"/>
    <w:rsid w:val="00FC2752"/>
    <w:rsid w:val="00FC4425"/>
    <w:rsid w:val="00FC52AA"/>
    <w:rsid w:val="00FC57C5"/>
    <w:rsid w:val="00FC59F9"/>
    <w:rsid w:val="00FD16B2"/>
    <w:rsid w:val="00FD1CCE"/>
    <w:rsid w:val="00FD2CFD"/>
    <w:rsid w:val="00FD3734"/>
    <w:rsid w:val="00FD5928"/>
    <w:rsid w:val="00FD63F3"/>
    <w:rsid w:val="00FD6720"/>
    <w:rsid w:val="00FD7467"/>
    <w:rsid w:val="00FE09B4"/>
    <w:rsid w:val="00FE14D5"/>
    <w:rsid w:val="00FE31FC"/>
    <w:rsid w:val="00FE4EB7"/>
    <w:rsid w:val="00FE65E6"/>
    <w:rsid w:val="00FF508F"/>
    <w:rsid w:val="00FF50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d31145,#fffddf,#ffecd6"/>
    </o:shapedefaults>
    <o:shapelayout v:ext="edit">
      <o:idmap v:ext="edit" data="1"/>
    </o:shapelayout>
  </w:shapeDefaults>
  <w:decimalSymbol w:val="."/>
  <w:listSeparator w:val=","/>
  <w15:docId w15:val="{8672B796-8149-4294-8070-A16B5060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86F9-6548-4C4F-A810-AC6A8594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8</TotalTime>
  <Pages>17</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26475</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Evenson, Maya</cp:lastModifiedBy>
  <cp:revision>4</cp:revision>
  <cp:lastPrinted>2016-01-12T10:17:00Z</cp:lastPrinted>
  <dcterms:created xsi:type="dcterms:W3CDTF">2016-01-12T09:58:00Z</dcterms:created>
  <dcterms:modified xsi:type="dcterms:W3CDTF">2016-01-12T11:01:00Z</dcterms:modified>
</cp:coreProperties>
</file>